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68C5" w14:textId="77777777" w:rsidR="0086631B" w:rsidRDefault="0086631B" w:rsidP="0086631B">
      <w:pPr>
        <w:pStyle w:val="WMHAheading"/>
      </w:pPr>
    </w:p>
    <w:p w14:paraId="36198D7B" w14:textId="3160F219" w:rsidR="0086631B" w:rsidRDefault="0086631B" w:rsidP="0086631B">
      <w:pPr>
        <w:pStyle w:val="WMHAheading"/>
      </w:pPr>
      <w:r>
        <w:t>COVID-19 and women’s mental health in 2021:</w:t>
      </w:r>
    </w:p>
    <w:p w14:paraId="10AF3144" w14:textId="295A7A80" w:rsidR="00FF1EB4" w:rsidRPr="0086631B" w:rsidRDefault="0086631B" w:rsidP="0086631B">
      <w:pPr>
        <w:pStyle w:val="WMHAheading"/>
      </w:pPr>
      <w:r w:rsidRPr="0086631B">
        <w:t>Observation</w:t>
      </w:r>
      <w:r w:rsidR="00C74D39">
        <w:t>s</w:t>
      </w:r>
      <w:r w:rsidRPr="0086631B">
        <w:t xml:space="preserve"> from </w:t>
      </w:r>
      <w:r w:rsidR="00C74D39">
        <w:t>Alliance</w:t>
      </w:r>
      <w:r w:rsidRPr="0086631B">
        <w:t xml:space="preserve"> members</w:t>
      </w:r>
    </w:p>
    <w:p w14:paraId="57B2067C" w14:textId="6067D338" w:rsidR="00FF1EB4" w:rsidRDefault="00FF1EB4" w:rsidP="0086631B">
      <w:pPr>
        <w:pStyle w:val="WHVSubheading"/>
      </w:pPr>
    </w:p>
    <w:p w14:paraId="7BDFAB44" w14:textId="0D77007D" w:rsidR="0086631B" w:rsidRPr="0086631B" w:rsidRDefault="0086631B" w:rsidP="0086631B">
      <w:pPr>
        <w:pStyle w:val="WMHAbodytext"/>
      </w:pPr>
      <w:r w:rsidRPr="0086631B">
        <w:t xml:space="preserve">In September 2021, the Women’s Mental Health Alliance </w:t>
      </w:r>
      <w:r w:rsidR="00C74D39">
        <w:t xml:space="preserve">(Alliance) </w:t>
      </w:r>
      <w:r w:rsidRPr="0086631B">
        <w:t xml:space="preserve">asked its members to </w:t>
      </w:r>
      <w:r w:rsidR="00C74D39">
        <w:t>r</w:t>
      </w:r>
      <w:r w:rsidRPr="0086631B">
        <w:t xml:space="preserve">eport </w:t>
      </w:r>
      <w:r w:rsidR="00C74D39">
        <w:t xml:space="preserve">their observations of </w:t>
      </w:r>
      <w:r w:rsidRPr="0086631B">
        <w:t xml:space="preserve">the ongoing mental health impacts </w:t>
      </w:r>
      <w:r w:rsidR="00C74D39">
        <w:t xml:space="preserve">of </w:t>
      </w:r>
      <w:r w:rsidRPr="0086631B">
        <w:t xml:space="preserve">the COVID-19 pandemic. Alliance members reported that women’s mental health was still being impacted by COVID-19 and </w:t>
      </w:r>
      <w:r w:rsidR="00C74D39">
        <w:t xml:space="preserve">associated public health </w:t>
      </w:r>
      <w:r w:rsidRPr="0086631B">
        <w:t>restrictions.</w:t>
      </w:r>
    </w:p>
    <w:p w14:paraId="0BF810FE" w14:textId="77777777" w:rsidR="001520D1" w:rsidRDefault="0086631B" w:rsidP="0086631B">
      <w:pPr>
        <w:pStyle w:val="WMHAbodytext"/>
      </w:pPr>
      <w:r w:rsidRPr="0086631B">
        <w:t xml:space="preserve">Clinicians and advocates have observed an increase in women’s mental distress during </w:t>
      </w:r>
      <w:r w:rsidR="00C74D39">
        <w:t>the current (2021) Victorian lockdown</w:t>
      </w:r>
      <w:r w:rsidRPr="0086631B">
        <w:t xml:space="preserve">. </w:t>
      </w:r>
      <w:r>
        <w:t xml:space="preserve">Below are some key issues that Alliance members have observed in women’s mental health during 2021 in Victoria. </w:t>
      </w:r>
    </w:p>
    <w:p w14:paraId="0ECDE837" w14:textId="2650FC9E" w:rsidR="001520D1" w:rsidRDefault="00B267CF" w:rsidP="0086631B">
      <w:pPr>
        <w:pStyle w:val="WMHAbodytext"/>
      </w:pPr>
      <w:r>
        <w:t xml:space="preserve">This </w:t>
      </w:r>
      <w:r w:rsidR="001520D1">
        <w:t xml:space="preserve">summary </w:t>
      </w:r>
      <w:r>
        <w:t>is not intended to provide a comprehensive overview of the current/ongoing impacts of COVID-19 on women’s mental health and</w:t>
      </w:r>
      <w:r w:rsidR="00DC0946">
        <w:t xml:space="preserve"> should be read together with </w:t>
      </w:r>
      <w:r w:rsidR="001520D1">
        <w:t>more thorough</w:t>
      </w:r>
      <w:r w:rsidR="00DC0946">
        <w:t xml:space="preserve"> </w:t>
      </w:r>
      <w:hyperlink r:id="rId8" w:history="1">
        <w:r w:rsidRPr="00B267CF">
          <w:rPr>
            <w:rStyle w:val="Hyperlink"/>
          </w:rPr>
          <w:t>policy briefings</w:t>
        </w:r>
      </w:hyperlink>
      <w:r>
        <w:t xml:space="preserve"> </w:t>
      </w:r>
      <w:r w:rsidR="00DC0946">
        <w:t>published by the Alliance in 2020</w:t>
      </w:r>
      <w:r w:rsidR="001520D1">
        <w:t xml:space="preserve">, as well as </w:t>
      </w:r>
      <w:hyperlink r:id="rId9" w:history="1">
        <w:r w:rsidR="001520D1" w:rsidRPr="001520D1">
          <w:rPr>
            <w:rStyle w:val="Hyperlink"/>
          </w:rPr>
          <w:t>‘This Conversation is Not Over’: Women’s Mental Health During the COVID-19 Pandemic</w:t>
        </w:r>
      </w:hyperlink>
      <w:r w:rsidR="001520D1">
        <w:t xml:space="preserve"> (Gender Equity Victoria 2021) and </w:t>
      </w:r>
      <w:hyperlink r:id="rId10" w:history="1">
        <w:r w:rsidR="001520D1" w:rsidRPr="001520D1">
          <w:rPr>
            <w:rStyle w:val="Hyperlink"/>
          </w:rPr>
          <w:t>Left Behind: Migrant and Refugee Women’s Experience of COVID-19</w:t>
        </w:r>
      </w:hyperlink>
      <w:r w:rsidR="001520D1">
        <w:t xml:space="preserve"> (Gender Equity Victoria and Multicultural Centre for Women’s Health, 2021)</w:t>
      </w:r>
      <w:r w:rsidR="00DC0946">
        <w:t>.</w:t>
      </w:r>
      <w:r w:rsidR="001520D1">
        <w:t xml:space="preserve"> </w:t>
      </w:r>
    </w:p>
    <w:p w14:paraId="63AFB29D" w14:textId="1F3583E4" w:rsidR="00FF1EB4" w:rsidRDefault="001520D1" w:rsidP="0086631B">
      <w:pPr>
        <w:pStyle w:val="WMHAbodytext"/>
        <w:rPr>
          <w:rFonts w:eastAsiaTheme="majorEastAsia" w:cstheme="majorBidi"/>
          <w:b/>
          <w:color w:val="E57200"/>
          <w:spacing w:val="-10"/>
          <w:kern w:val="28"/>
          <w:sz w:val="40"/>
          <w:szCs w:val="56"/>
        </w:rPr>
      </w:pPr>
      <w:r>
        <w:t>With thanks to Women with Disabilities Victoria (WDV)</w:t>
      </w:r>
      <w:r w:rsidR="0045106B">
        <w:t>, Multicultural Centre for Women’s Health (MCWH) and</w:t>
      </w:r>
      <w:r>
        <w:t xml:space="preserve"> the Australian Muslim Women’s Centre for Human Rights (AMWCHR), the summary has a particular focus on the experiences of women with disabilities</w:t>
      </w:r>
      <w:r w:rsidR="0045106B">
        <w:t>, migrant women</w:t>
      </w:r>
      <w:r>
        <w:t xml:space="preserve"> and Muslim women.</w:t>
      </w:r>
    </w:p>
    <w:p w14:paraId="5831C06B" w14:textId="73D9EE4D" w:rsidR="00C74D39" w:rsidRDefault="00940E96" w:rsidP="0086631B">
      <w:pPr>
        <w:pStyle w:val="WHVSubheading"/>
      </w:pPr>
      <w:r>
        <w:t>General d</w:t>
      </w:r>
      <w:r w:rsidR="00C74D39">
        <w:t xml:space="preserve">eterioration in mental health </w:t>
      </w:r>
    </w:p>
    <w:p w14:paraId="3627C931" w14:textId="4D0EBF95" w:rsidR="00C74D39" w:rsidRPr="0086631B" w:rsidRDefault="00C74D39" w:rsidP="00C74D39">
      <w:pPr>
        <w:pStyle w:val="WMHAbodytext"/>
      </w:pPr>
      <w:r w:rsidRPr="0086631B">
        <w:t>Issues affecting women’s mental health</w:t>
      </w:r>
      <w:r>
        <w:t xml:space="preserve"> reported by Alliance members</w:t>
      </w:r>
      <w:r w:rsidRPr="0086631B">
        <w:t xml:space="preserve"> include</w:t>
      </w:r>
      <w:r>
        <w:t>:</w:t>
      </w:r>
      <w:r w:rsidRPr="0086631B">
        <w:t xml:space="preserve"> loneliness and social isolation</w:t>
      </w:r>
      <w:r>
        <w:t>;</w:t>
      </w:r>
      <w:r w:rsidRPr="0086631B">
        <w:t xml:space="preserve"> </w:t>
      </w:r>
      <w:r w:rsidR="00C86A4D">
        <w:t xml:space="preserve">fear, anxiety and nervousness; </w:t>
      </w:r>
      <w:r w:rsidRPr="0086631B">
        <w:t>helplessness and lack of self-efficacy</w:t>
      </w:r>
      <w:r>
        <w:t>;</w:t>
      </w:r>
      <w:r w:rsidRPr="0086631B">
        <w:t xml:space="preserve"> lack of support</w:t>
      </w:r>
      <w:r>
        <w:t>;</w:t>
      </w:r>
      <w:r w:rsidRPr="0086631B">
        <w:t xml:space="preserve"> and an escalation </w:t>
      </w:r>
      <w:r>
        <w:t>in</w:t>
      </w:r>
      <w:r w:rsidRPr="0086631B">
        <w:t xml:space="preserve"> alcohol use.</w:t>
      </w:r>
    </w:p>
    <w:p w14:paraId="36A2D6CA" w14:textId="14DCB6D5" w:rsidR="00C74D39" w:rsidRDefault="00C74D39" w:rsidP="00C74D39">
      <w:pPr>
        <w:pStyle w:val="WMHAbodytext"/>
      </w:pPr>
      <w:r w:rsidRPr="0086631B">
        <w:t>In Area Mental Health</w:t>
      </w:r>
      <w:r>
        <w:t xml:space="preserve"> Services</w:t>
      </w:r>
      <w:r w:rsidRPr="0086631B">
        <w:t xml:space="preserve">, clinicians have noticed that women with serious existing mental illness </w:t>
      </w:r>
      <w:r>
        <w:t>are</w:t>
      </w:r>
      <w:r w:rsidRPr="0086631B">
        <w:t xml:space="preserve"> deteriorating and presenting to services later.</w:t>
      </w:r>
    </w:p>
    <w:p w14:paraId="725EBC1A" w14:textId="0E5ACD38" w:rsidR="00C86A4D" w:rsidRDefault="00C86A4D" w:rsidP="00C74D39">
      <w:pPr>
        <w:pStyle w:val="WMHAbodytext"/>
      </w:pPr>
      <w:r>
        <w:t xml:space="preserve">Health practitioners who do not specialise in mental health (for example, gynaecologists) are reporting that women are turning to them for mental health support. This reflects both a deterioration in mental health among women, as well as lack of access to mental health services. This is putting pressure on </w:t>
      </w:r>
      <w:r w:rsidR="00A02D34">
        <w:t xml:space="preserve">other </w:t>
      </w:r>
      <w:r>
        <w:t>health practitioners, including GPs</w:t>
      </w:r>
      <w:r w:rsidR="00A02D34">
        <w:t xml:space="preserve">, to manage </w:t>
      </w:r>
      <w:r w:rsidR="00B267CF">
        <w:t>increased demand and more complex presentations.</w:t>
      </w:r>
    </w:p>
    <w:p w14:paraId="08A974A1" w14:textId="77777777" w:rsidR="005F0243" w:rsidRDefault="005F0243" w:rsidP="005F0243">
      <w:pPr>
        <w:pStyle w:val="WMHAbodytext"/>
      </w:pPr>
      <w:r>
        <w:t xml:space="preserve">The Multicultural Centre for Women’s Health (MCWH) has noted that mental health, isolation and financial insecurity have been the most pressing issues for the migrant and refugee community during COVID-19 lockdowns. </w:t>
      </w:r>
    </w:p>
    <w:p w14:paraId="5B41E0C9" w14:textId="7F9F3180" w:rsidR="003C0CC7" w:rsidRDefault="003C0CC7" w:rsidP="00C74D39">
      <w:pPr>
        <w:pStyle w:val="WMHAbodytext"/>
      </w:pPr>
      <w:r>
        <w:lastRenderedPageBreak/>
        <w:t xml:space="preserve">The Australian Muslim Women’s Centre for Human Rights (AMWCHR) </w:t>
      </w:r>
      <w:r w:rsidR="003C63D2">
        <w:t xml:space="preserve">has </w:t>
      </w:r>
      <w:r>
        <w:t>noted an increase in the complexity of case work among their clients, re</w:t>
      </w:r>
      <w:r w:rsidR="00BC7325">
        <w:t xml:space="preserve">quiring increased time with clients which has, </w:t>
      </w:r>
      <w:r>
        <w:t>in turn</w:t>
      </w:r>
      <w:r w:rsidR="00BC7325">
        <w:t>,</w:t>
      </w:r>
      <w:r>
        <w:t xml:space="preserve"> has doubled their waitlist. </w:t>
      </w:r>
      <w:r w:rsidRPr="00592A6D">
        <w:t>They also noted a huge increase in callers during the Afghanistan crisis, with callers wanting to know how to apply for humanitarian visas for their friends and relatives, as well as worry about their own visa status. The precariousness of Temporary Protection and Safe Haven Enterprise visas has a negative impact on the mental health of Afghan refugees in Australia.</w:t>
      </w:r>
    </w:p>
    <w:p w14:paraId="3D6F1C1D" w14:textId="77777777" w:rsidR="00553615" w:rsidRDefault="00553615" w:rsidP="00553615">
      <w:pPr>
        <w:pStyle w:val="WHVSubheading"/>
      </w:pPr>
      <w:r>
        <w:t>Young women’s mental health</w:t>
      </w:r>
    </w:p>
    <w:p w14:paraId="238D331F" w14:textId="3A00DA42" w:rsidR="00553615" w:rsidRDefault="00553615" w:rsidP="00553615">
      <w:pPr>
        <w:pStyle w:val="WMHAbodytext"/>
      </w:pPr>
      <w:r>
        <w:t xml:space="preserve">A significant body of evidence is emerging regarding the impacts of the pandemic on young women’s mental health, including a rise in </w:t>
      </w:r>
      <w:r w:rsidR="00940E96">
        <w:t xml:space="preserve">presentations for </w:t>
      </w:r>
      <w:r>
        <w:t>eating disorder</w:t>
      </w:r>
      <w:r w:rsidR="00940E96">
        <w:t>s</w:t>
      </w:r>
      <w:r>
        <w:t xml:space="preserve"> </w:t>
      </w:r>
      <w:r w:rsidR="00940E96">
        <w:t>and</w:t>
      </w:r>
      <w:r>
        <w:t xml:space="preserve"> self-harm.</w:t>
      </w:r>
      <w:r w:rsidR="003F0623">
        <w:t xml:space="preserve"> </w:t>
      </w:r>
      <w:r w:rsidR="00B65910">
        <w:t>Data from the Australian Institute for Health &amp; Welfare shows that r</w:t>
      </w:r>
      <w:r>
        <w:t xml:space="preserve">ates of ambulance attendance </w:t>
      </w:r>
      <w:r w:rsidR="00B65910">
        <w:t xml:space="preserve">in Victoria </w:t>
      </w:r>
      <w:r>
        <w:t>for self-harm</w:t>
      </w:r>
      <w:r w:rsidR="00B65910">
        <w:t>, suicidal ideation</w:t>
      </w:r>
      <w:r>
        <w:t xml:space="preserve"> and suicide attempts </w:t>
      </w:r>
      <w:r w:rsidR="00B65910">
        <w:t xml:space="preserve">increased sharply between 2018 and 2020 and </w:t>
      </w:r>
      <w:r>
        <w:t xml:space="preserve">were </w:t>
      </w:r>
      <w:r w:rsidR="00B65910">
        <w:t xml:space="preserve">significantly </w:t>
      </w:r>
      <w:r>
        <w:t xml:space="preserve">higher for </w:t>
      </w:r>
      <w:r w:rsidR="00B65910">
        <w:t xml:space="preserve">young </w:t>
      </w:r>
      <w:r>
        <w:t xml:space="preserve">women </w:t>
      </w:r>
      <w:r w:rsidR="00BF45B8">
        <w:t>(</w:t>
      </w:r>
      <w:r>
        <w:t>aged below 25 years</w:t>
      </w:r>
      <w:r w:rsidR="00BF45B8">
        <w:t>)</w:t>
      </w:r>
      <w:r w:rsidR="00B65910">
        <w:t xml:space="preserve"> than for young men</w:t>
      </w:r>
      <w:r>
        <w:t>.</w:t>
      </w:r>
      <w:r>
        <w:rPr>
          <w:rStyle w:val="FootnoteReference"/>
        </w:rPr>
        <w:footnoteReference w:id="1"/>
      </w:r>
      <w:r>
        <w:t xml:space="preserve"> </w:t>
      </w:r>
    </w:p>
    <w:p w14:paraId="7AEEEF05" w14:textId="3184C06A" w:rsidR="00553615" w:rsidRDefault="00553615" w:rsidP="00553615">
      <w:pPr>
        <w:pStyle w:val="WMHAbodytext"/>
      </w:pPr>
      <w:r>
        <w:t>The proportion of young women with psychological distress has</w:t>
      </w:r>
      <w:r w:rsidR="00BF45B8">
        <w:t xml:space="preserve"> also</w:t>
      </w:r>
      <w:r>
        <w:t xml:space="preserve"> increased </w:t>
      </w:r>
      <w:r w:rsidR="003F0623">
        <w:t xml:space="preserve">from 22.4% in 2012 </w:t>
      </w:r>
      <w:r>
        <w:t xml:space="preserve">to 34.1% </w:t>
      </w:r>
      <w:r w:rsidR="003F0623">
        <w:t xml:space="preserve">in 2020 (compared with an increase from </w:t>
      </w:r>
      <w:r w:rsidR="003F0623" w:rsidRPr="003F0623">
        <w:t>12.6% in 2012 to 15.3% in 2020</w:t>
      </w:r>
      <w:r w:rsidR="003F0623">
        <w:t xml:space="preserve"> for young men).</w:t>
      </w:r>
      <w:r>
        <w:rPr>
          <w:rStyle w:val="FootnoteReference"/>
        </w:rPr>
        <w:footnoteReference w:id="2"/>
      </w:r>
      <w:r>
        <w:t xml:space="preserve"> </w:t>
      </w:r>
    </w:p>
    <w:p w14:paraId="32FFD8C4" w14:textId="583C0A68" w:rsidR="0086631B" w:rsidRPr="0086631B" w:rsidRDefault="00553615" w:rsidP="0086631B">
      <w:pPr>
        <w:pStyle w:val="WMHAbodytext"/>
      </w:pPr>
      <w:r>
        <w:t>While much of this data relates to young people’s experiences in 2020, Alliance members observe that these impacts are continuing.</w:t>
      </w:r>
      <w:r w:rsidRPr="00553615">
        <w:t xml:space="preserve"> </w:t>
      </w:r>
      <w:r w:rsidR="00940E96">
        <w:t xml:space="preserve">For example, </w:t>
      </w:r>
      <w:r w:rsidRPr="0086631B">
        <w:t xml:space="preserve">Area Mental Health </w:t>
      </w:r>
      <w:r>
        <w:t xml:space="preserve">Services </w:t>
      </w:r>
      <w:r w:rsidRPr="0086631B">
        <w:t xml:space="preserve">clinicians have noticed an increase </w:t>
      </w:r>
      <w:r>
        <w:t xml:space="preserve">in </w:t>
      </w:r>
      <w:r w:rsidRPr="0086631B">
        <w:t>presentation</w:t>
      </w:r>
      <w:r>
        <w:t>s</w:t>
      </w:r>
      <w:r w:rsidRPr="0086631B">
        <w:t xml:space="preserve"> </w:t>
      </w:r>
      <w:r>
        <w:t>by</w:t>
      </w:r>
      <w:r w:rsidRPr="0086631B">
        <w:t xml:space="preserve"> children and adolescent girls to Emergency Departments with self-harming behaviours</w:t>
      </w:r>
      <w:r w:rsidR="00940E96">
        <w:t xml:space="preserve"> in 2021</w:t>
      </w:r>
      <w:r>
        <w:t>,</w:t>
      </w:r>
      <w:r w:rsidRPr="0086631B">
        <w:t xml:space="preserve"> </w:t>
      </w:r>
      <w:r>
        <w:t>leading to an</w:t>
      </w:r>
      <w:r w:rsidRPr="0086631B">
        <w:t xml:space="preserve"> increase</w:t>
      </w:r>
      <w:r>
        <w:t xml:space="preserve"> in</w:t>
      </w:r>
      <w:r w:rsidRPr="0086631B">
        <w:t xml:space="preserve"> adolescent </w:t>
      </w:r>
      <w:r>
        <w:t xml:space="preserve">mental health </w:t>
      </w:r>
      <w:r w:rsidRPr="0086631B">
        <w:t>inpatient unit admissions</w:t>
      </w:r>
      <w:r w:rsidR="00940E96">
        <w:t>.</w:t>
      </w:r>
    </w:p>
    <w:p w14:paraId="4F20539D" w14:textId="77777777" w:rsidR="0086631B" w:rsidRPr="0086631B" w:rsidRDefault="0086631B" w:rsidP="0086631B">
      <w:pPr>
        <w:pStyle w:val="WHVSubheading"/>
      </w:pPr>
      <w:r w:rsidRPr="0086631B">
        <w:t>Increased anxiety</w:t>
      </w:r>
    </w:p>
    <w:p w14:paraId="48338F36" w14:textId="4505B4D7" w:rsidR="0086631B" w:rsidRDefault="0086631B" w:rsidP="0086631B">
      <w:pPr>
        <w:pStyle w:val="WMHAbodytext"/>
        <w:rPr>
          <w:lang w:val="en-US"/>
        </w:rPr>
      </w:pPr>
      <w:r w:rsidRPr="0086631B">
        <w:t xml:space="preserve">Clinicians at Jean Hailes </w:t>
      </w:r>
      <w:r w:rsidR="00C74D39">
        <w:t>for Women’s Health highlight an increase in</w:t>
      </w:r>
      <w:r w:rsidRPr="0086631B">
        <w:rPr>
          <w:lang w:val="en-US"/>
        </w:rPr>
        <w:t xml:space="preserve"> anxiety among women</w:t>
      </w:r>
      <w:r w:rsidR="00C74D39">
        <w:rPr>
          <w:lang w:val="en-US"/>
        </w:rPr>
        <w:t xml:space="preserve">, including at generalist (not </w:t>
      </w:r>
      <w:r w:rsidR="007A136A">
        <w:rPr>
          <w:lang w:val="en-US"/>
        </w:rPr>
        <w:t>women’s</w:t>
      </w:r>
      <w:r w:rsidR="00C74D39">
        <w:rPr>
          <w:lang w:val="en-US"/>
        </w:rPr>
        <w:t xml:space="preserve"> health-specific) clinics</w:t>
      </w:r>
      <w:r w:rsidRPr="0086631B">
        <w:rPr>
          <w:lang w:val="en-US"/>
        </w:rPr>
        <w:t xml:space="preserve">. One clinician </w:t>
      </w:r>
      <w:r w:rsidR="003C63D2">
        <w:rPr>
          <w:lang w:val="en-US"/>
        </w:rPr>
        <w:t xml:space="preserve">has </w:t>
      </w:r>
      <w:r w:rsidR="00C74D39">
        <w:rPr>
          <w:lang w:val="en-US"/>
        </w:rPr>
        <w:t>noted</w:t>
      </w:r>
      <w:r w:rsidRPr="0086631B">
        <w:rPr>
          <w:lang w:val="en-US"/>
        </w:rPr>
        <w:t xml:space="preserve"> that over 50% of her patients </w:t>
      </w:r>
      <w:r w:rsidR="00C74D39">
        <w:rPr>
          <w:lang w:val="en-US"/>
        </w:rPr>
        <w:t>are reporting</w:t>
      </w:r>
      <w:r w:rsidRPr="0086631B">
        <w:rPr>
          <w:lang w:val="en-US"/>
        </w:rPr>
        <w:t xml:space="preserve"> issue</w:t>
      </w:r>
      <w:r w:rsidR="00C74D39">
        <w:rPr>
          <w:lang w:val="en-US"/>
        </w:rPr>
        <w:t>s</w:t>
      </w:r>
      <w:r w:rsidRPr="0086631B">
        <w:rPr>
          <w:lang w:val="en-US"/>
        </w:rPr>
        <w:t xml:space="preserve"> with anxiety (across all ages). </w:t>
      </w:r>
    </w:p>
    <w:p w14:paraId="06F776D9" w14:textId="6847E19F" w:rsidR="001E1A2E" w:rsidRPr="0086631B" w:rsidRDefault="00057DB5" w:rsidP="0086631B">
      <w:pPr>
        <w:pStyle w:val="WMHAbodytext"/>
      </w:pPr>
      <w:r>
        <w:rPr>
          <w:lang w:val="en-US"/>
        </w:rPr>
        <w:t>In the past few months, m</w:t>
      </w:r>
      <w:r w:rsidR="001E1A2E">
        <w:rPr>
          <w:lang w:val="en-US"/>
        </w:rPr>
        <w:t xml:space="preserve">igrant and refugee women living in </w:t>
      </w:r>
      <w:r>
        <w:rPr>
          <w:lang w:val="en-US"/>
        </w:rPr>
        <w:t xml:space="preserve">Victorian regions </w:t>
      </w:r>
      <w:r w:rsidR="001E1A2E">
        <w:rPr>
          <w:lang w:val="en-US"/>
        </w:rPr>
        <w:t xml:space="preserve">with high rates of COVID-19 </w:t>
      </w:r>
      <w:r>
        <w:rPr>
          <w:lang w:val="en-US"/>
        </w:rPr>
        <w:t>have reported</w:t>
      </w:r>
      <w:r w:rsidR="001E1A2E">
        <w:rPr>
          <w:lang w:val="en-US"/>
        </w:rPr>
        <w:t xml:space="preserve"> increased anxiety and stress about sending their children to school, particularly VCE students </w:t>
      </w:r>
      <w:r>
        <w:rPr>
          <w:lang w:val="en-US"/>
        </w:rPr>
        <w:t>who</w:t>
      </w:r>
      <w:r w:rsidR="001E1A2E">
        <w:rPr>
          <w:lang w:val="en-US"/>
        </w:rPr>
        <w:t xml:space="preserve"> have not been vaccinated.</w:t>
      </w:r>
    </w:p>
    <w:p w14:paraId="7D09E2BB" w14:textId="77777777" w:rsidR="0086631B" w:rsidRPr="0086631B" w:rsidRDefault="0086631B" w:rsidP="0086631B">
      <w:pPr>
        <w:pStyle w:val="WHVSubheading"/>
      </w:pPr>
      <w:r w:rsidRPr="0086631B">
        <w:t>Increases in eating disorders</w:t>
      </w:r>
    </w:p>
    <w:p w14:paraId="7F4C1126" w14:textId="598C21C2" w:rsidR="0086631B" w:rsidRPr="0086631B" w:rsidRDefault="0086631B" w:rsidP="0086631B">
      <w:pPr>
        <w:pStyle w:val="WMHAbodytext"/>
      </w:pPr>
      <w:r w:rsidRPr="0086631B">
        <w:t>Jean Hailes</w:t>
      </w:r>
      <w:r w:rsidR="00C74D39">
        <w:t xml:space="preserve"> for Women’s Health</w:t>
      </w:r>
      <w:r w:rsidRPr="0086631B">
        <w:t xml:space="preserve">, Eating Disorders Victoria </w:t>
      </w:r>
      <w:r w:rsidR="00DC0946">
        <w:t xml:space="preserve">(EDV) </w:t>
      </w:r>
      <w:r w:rsidRPr="0086631B">
        <w:t xml:space="preserve">and </w:t>
      </w:r>
      <w:r w:rsidR="00DC0946">
        <w:t>A</w:t>
      </w:r>
      <w:r w:rsidRPr="0086631B">
        <w:t xml:space="preserve">rea </w:t>
      </w:r>
      <w:r w:rsidR="00DC0946">
        <w:t>M</w:t>
      </w:r>
      <w:r w:rsidRPr="0086631B">
        <w:t xml:space="preserve">ental </w:t>
      </w:r>
      <w:r w:rsidR="00DC0946">
        <w:t>H</w:t>
      </w:r>
      <w:r w:rsidRPr="0086631B">
        <w:t>ealth</w:t>
      </w:r>
      <w:r w:rsidR="00DC0946">
        <w:t xml:space="preserve"> Services</w:t>
      </w:r>
      <w:r w:rsidRPr="0086631B">
        <w:t xml:space="preserve"> have also seen a rise in eating disorder presentations among women. Those in Area Mental Health </w:t>
      </w:r>
      <w:r w:rsidR="00DC0946">
        <w:t>S</w:t>
      </w:r>
      <w:r w:rsidRPr="0086631B">
        <w:t xml:space="preserve">ervices </w:t>
      </w:r>
      <w:r w:rsidR="00DC0946">
        <w:t>note</w:t>
      </w:r>
      <w:r w:rsidRPr="0086631B">
        <w:t xml:space="preserve"> a rise in new eating disorder presentations.</w:t>
      </w:r>
    </w:p>
    <w:p w14:paraId="737935E5" w14:textId="12681020" w:rsidR="00940E96" w:rsidRDefault="0086631B" w:rsidP="00940E96">
      <w:pPr>
        <w:pStyle w:val="WMHAbodytext"/>
      </w:pPr>
      <w:r w:rsidRPr="0086631B">
        <w:t xml:space="preserve">EDV </w:t>
      </w:r>
      <w:r w:rsidR="003C63D2">
        <w:t xml:space="preserve">has </w:t>
      </w:r>
      <w:r w:rsidRPr="0086631B">
        <w:t xml:space="preserve">described an unprecedented increase in presentations and relapses of eating disorders, estimating a tripling of cases, and a doubling and tripling of demand for EDV’s </w:t>
      </w:r>
      <w:r w:rsidRPr="0086631B">
        <w:lastRenderedPageBreak/>
        <w:t xml:space="preserve">peer and clinical services. </w:t>
      </w:r>
      <w:r w:rsidR="00DC0946">
        <w:t>F</w:t>
      </w:r>
      <w:r w:rsidRPr="0086631B">
        <w:t xml:space="preserve">emales make up 70% of cases. </w:t>
      </w:r>
      <w:r w:rsidR="00940E96">
        <w:t>This is consistent with data from the National Mental Health Commission which shows a 25% to 50% increase in the number of people being treated for eating disorders during the COVID-19 pandemic, including both relapses and new diagnoses.</w:t>
      </w:r>
      <w:r w:rsidR="00940E96">
        <w:rPr>
          <w:rStyle w:val="FootnoteReference"/>
        </w:rPr>
        <w:footnoteReference w:id="3"/>
      </w:r>
      <w:r w:rsidR="00940E96">
        <w:t xml:space="preserve"> </w:t>
      </w:r>
    </w:p>
    <w:p w14:paraId="243ACA54" w14:textId="0C1587C2" w:rsidR="0086631B" w:rsidRDefault="0086631B" w:rsidP="0086631B">
      <w:pPr>
        <w:pStyle w:val="WMHAbodytext"/>
      </w:pPr>
      <w:r w:rsidRPr="0086631B">
        <w:t xml:space="preserve">EDV </w:t>
      </w:r>
      <w:r w:rsidR="00DC0946">
        <w:t xml:space="preserve">notes that eating disorders can have a sudden onset but take time to treat and </w:t>
      </w:r>
      <w:r w:rsidRPr="0086631B">
        <w:t xml:space="preserve">anticipate that there will be increased demand for their services for at least </w:t>
      </w:r>
      <w:r w:rsidR="00DC0946">
        <w:t>two</w:t>
      </w:r>
      <w:r w:rsidRPr="0086631B">
        <w:t xml:space="preserve"> years. While EDV welcome</w:t>
      </w:r>
      <w:r w:rsidR="00DC0946">
        <w:t>s</w:t>
      </w:r>
      <w:r w:rsidRPr="0086631B">
        <w:t xml:space="preserve"> the surge funding to meet</w:t>
      </w:r>
      <w:r w:rsidR="00DC0946">
        <w:t xml:space="preserve"> increased </w:t>
      </w:r>
      <w:r w:rsidRPr="0086631B">
        <w:t xml:space="preserve">demand, </w:t>
      </w:r>
      <w:r w:rsidR="00DC0946">
        <w:t>this needs to be extended beyond June 2022 to at least</w:t>
      </w:r>
      <w:r w:rsidRPr="0086631B">
        <w:t xml:space="preserve"> 2023.  </w:t>
      </w:r>
    </w:p>
    <w:p w14:paraId="4748D57E" w14:textId="2E783A33" w:rsidR="0086631B" w:rsidRPr="0086631B" w:rsidRDefault="0086631B" w:rsidP="0086631B">
      <w:pPr>
        <w:pStyle w:val="WHVSubheading"/>
      </w:pPr>
      <w:r w:rsidRPr="0086631B">
        <w:t xml:space="preserve">Family violence reducing access to </w:t>
      </w:r>
      <w:r w:rsidR="00170C2C">
        <w:t xml:space="preserve">support, including </w:t>
      </w:r>
      <w:r w:rsidRPr="0086631B">
        <w:t>mental health services</w:t>
      </w:r>
      <w:r w:rsidR="00E42465">
        <w:t xml:space="preserve"> </w:t>
      </w:r>
    </w:p>
    <w:p w14:paraId="5EEF341E" w14:textId="17746B70" w:rsidR="00E42465" w:rsidRDefault="008F3FCC" w:rsidP="00E42465">
      <w:pPr>
        <w:pStyle w:val="WMHAbodytext"/>
      </w:pPr>
      <w:r>
        <w:t xml:space="preserve">Recently published findings from an ANROWS survey </w:t>
      </w:r>
      <w:r w:rsidR="0020316C">
        <w:t>found that</w:t>
      </w:r>
      <w:r w:rsidR="00E42465">
        <w:t xml:space="preserve"> 1 in 4 women who experienced physical or sexual violence </w:t>
      </w:r>
      <w:r>
        <w:t xml:space="preserve">during the pandemic </w:t>
      </w:r>
      <w:r w:rsidR="00E42465">
        <w:t>did not seek help on at least one occasion due to safety concerns</w:t>
      </w:r>
      <w:r w:rsidR="003E6C1A">
        <w:t>.</w:t>
      </w:r>
      <w:r w:rsidR="007C3406">
        <w:t xml:space="preserve"> 1 in 3 of the women who reported barriers to help-seeking did not seek help from police, government or non-government services at all during the </w:t>
      </w:r>
      <w:r>
        <w:t>previous</w:t>
      </w:r>
      <w:r w:rsidR="007C3406">
        <w:t xml:space="preserve"> twelve months.</w:t>
      </w:r>
      <w:r w:rsidR="00E42465" w:rsidDel="005F0243">
        <w:rPr>
          <w:rStyle w:val="FootnoteReference"/>
        </w:rPr>
        <w:footnoteReference w:id="4"/>
      </w:r>
    </w:p>
    <w:p w14:paraId="6808CBCB" w14:textId="25B2FF04" w:rsidR="005F0243" w:rsidRDefault="00DC0946" w:rsidP="0086631B">
      <w:pPr>
        <w:pStyle w:val="WMHAbodytext"/>
      </w:pPr>
      <w:r>
        <w:t>C</w:t>
      </w:r>
      <w:r w:rsidR="0086631B" w:rsidRPr="0086631B">
        <w:t xml:space="preserve">linicians </w:t>
      </w:r>
      <w:r>
        <w:t>from A</w:t>
      </w:r>
      <w:r w:rsidR="0086631B" w:rsidRPr="0086631B">
        <w:t xml:space="preserve">rea </w:t>
      </w:r>
      <w:r>
        <w:t>M</w:t>
      </w:r>
      <w:r w:rsidR="0086631B" w:rsidRPr="0086631B">
        <w:t xml:space="preserve">ental </w:t>
      </w:r>
      <w:r>
        <w:t>H</w:t>
      </w:r>
      <w:r w:rsidR="0086631B" w:rsidRPr="0086631B">
        <w:t xml:space="preserve">ealth </w:t>
      </w:r>
      <w:r>
        <w:t>Services</w:t>
      </w:r>
      <w:r w:rsidR="0086631B" w:rsidRPr="0086631B">
        <w:t xml:space="preserve"> report that </w:t>
      </w:r>
      <w:r w:rsidR="005F0243">
        <w:t>f</w:t>
      </w:r>
      <w:r w:rsidR="005F0243" w:rsidRPr="0086631B">
        <w:t>amily violence is being used to prevent women getting the psychiatric care they need.</w:t>
      </w:r>
    </w:p>
    <w:p w14:paraId="35B0C52D" w14:textId="0F5185C4" w:rsidR="00360A1D" w:rsidRDefault="005F0243" w:rsidP="0086631B">
      <w:pPr>
        <w:pStyle w:val="WMHAbodytext"/>
      </w:pPr>
      <w:r>
        <w:t xml:space="preserve">Area Mental Health Services clinicians also report that </w:t>
      </w:r>
      <w:r w:rsidR="0086631B" w:rsidRPr="0086631B">
        <w:t xml:space="preserve">telehealth has </w:t>
      </w:r>
      <w:r w:rsidR="003C63D2">
        <w:t xml:space="preserve">made it more difficult for women to </w:t>
      </w:r>
      <w:r w:rsidR="0086631B" w:rsidRPr="0086631B">
        <w:t>disclos</w:t>
      </w:r>
      <w:r w:rsidR="003C63D2">
        <w:t>e fa</w:t>
      </w:r>
      <w:r w:rsidR="0086631B" w:rsidRPr="0086631B">
        <w:t>mily violence.</w:t>
      </w:r>
      <w:r>
        <w:t xml:space="preserve"> Similarly, </w:t>
      </w:r>
      <w:r w:rsidR="00360A1D">
        <w:t xml:space="preserve">Specialist Family Violence Advisors </w:t>
      </w:r>
      <w:r>
        <w:t xml:space="preserve">have </w:t>
      </w:r>
      <w:r w:rsidR="00360A1D">
        <w:t xml:space="preserve">reported that perinatal services providing telehealth have noted significant barriers to family violence screening and response, as they are unable to determine whether the perpetrator is in the room or listening to the call. Family violence </w:t>
      </w:r>
      <w:r w:rsidR="007C3406">
        <w:t>support is</w:t>
      </w:r>
      <w:r w:rsidR="00360A1D">
        <w:t xml:space="preserve"> critical during the perinatal period, as </w:t>
      </w:r>
      <w:r w:rsidR="007C3406">
        <w:t>there is an increased risk of violence escalation.</w:t>
      </w:r>
    </w:p>
    <w:p w14:paraId="7A377ECA" w14:textId="398ECDA8" w:rsidR="00EC4896" w:rsidRDefault="0086631B" w:rsidP="0086631B">
      <w:pPr>
        <w:pStyle w:val="WMHAbodytext"/>
      </w:pPr>
      <w:r w:rsidRPr="0086631B">
        <w:t xml:space="preserve">Women with Disabilities Victoria are concerned that women with disabilities who experience family violence during lockdown will not be able to come forward for supports until after lockdown. Barriers to accessing </w:t>
      </w:r>
      <w:r w:rsidR="003C63D2" w:rsidRPr="00BF45B8">
        <w:t xml:space="preserve">family violence </w:t>
      </w:r>
      <w:r w:rsidRPr="00BF45B8">
        <w:t>services</w:t>
      </w:r>
      <w:r w:rsidRPr="0086631B">
        <w:t xml:space="preserve"> have been exacerbated during lockdowns, which may have significant long</w:t>
      </w:r>
      <w:r w:rsidR="003C63D2">
        <w:t>-</w:t>
      </w:r>
      <w:r w:rsidRPr="0086631B">
        <w:t xml:space="preserve">term impacts on women's physical and mental health. </w:t>
      </w:r>
      <w:r w:rsidR="00002538">
        <w:t>The perception of w</w:t>
      </w:r>
      <w:r w:rsidRPr="0086631B">
        <w:t xml:space="preserve">omen </w:t>
      </w:r>
      <w:r w:rsidR="003C63D2">
        <w:t xml:space="preserve">with disabilities </w:t>
      </w:r>
      <w:r w:rsidRPr="0086631B">
        <w:t xml:space="preserve">as </w:t>
      </w:r>
      <w:r w:rsidR="003C63D2">
        <w:t>‘</w:t>
      </w:r>
      <w:r w:rsidRPr="0086631B">
        <w:t>burdens</w:t>
      </w:r>
      <w:r w:rsidR="003C63D2">
        <w:t>’</w:t>
      </w:r>
      <w:r w:rsidR="00002538">
        <w:t xml:space="preserve"> has been evident in the public discourse around prioritisation for COVID treatment, which</w:t>
      </w:r>
      <w:r w:rsidR="003C63D2" w:rsidRPr="0086631B">
        <w:t xml:space="preserve"> further reduces </w:t>
      </w:r>
      <w:r w:rsidR="00002538">
        <w:t xml:space="preserve">women with disabilities’ </w:t>
      </w:r>
      <w:r w:rsidR="003C63D2" w:rsidRPr="0086631B">
        <w:t>sense of belonging and value.</w:t>
      </w:r>
      <w:r w:rsidR="003C63D2">
        <w:t xml:space="preserve"> </w:t>
      </w:r>
      <w:r w:rsidR="003C63D2" w:rsidRPr="0086631B">
        <w:t xml:space="preserve">The burden archetype is a reinforcing factor in the high rates of gender-based violence </w:t>
      </w:r>
      <w:r w:rsidR="003C63D2">
        <w:t xml:space="preserve">experienced by </w:t>
      </w:r>
      <w:r w:rsidR="003C63D2" w:rsidRPr="0086631B">
        <w:t xml:space="preserve">women with disability. </w:t>
      </w:r>
      <w:r w:rsidRPr="0086631B">
        <w:t xml:space="preserve"> </w:t>
      </w:r>
    </w:p>
    <w:p w14:paraId="1E1F24D0" w14:textId="31574C33" w:rsidR="001E1A2E" w:rsidRDefault="00057DB5" w:rsidP="0086631B">
      <w:pPr>
        <w:pStyle w:val="WMHAbodytext"/>
      </w:pPr>
      <w:bookmarkStart w:id="0" w:name="_Hlk86314496"/>
      <w:r>
        <w:t>MCWH</w:t>
      </w:r>
      <w:r w:rsidR="001E1A2E">
        <w:t xml:space="preserve"> collaborates with ethno-specific and migrant women’s</w:t>
      </w:r>
      <w:r w:rsidR="00E01279">
        <w:t xml:space="preserve"> family violence</w:t>
      </w:r>
      <w:r w:rsidR="001E1A2E">
        <w:t xml:space="preserve"> response services in metropolitan and regional areas</w:t>
      </w:r>
      <w:bookmarkEnd w:id="0"/>
      <w:r w:rsidR="001E1A2E">
        <w:t xml:space="preserve">. </w:t>
      </w:r>
      <w:r w:rsidR="00734168">
        <w:t>These p</w:t>
      </w:r>
      <w:r w:rsidR="001E1A2E">
        <w:t xml:space="preserve">artner organisations </w:t>
      </w:r>
      <w:r>
        <w:t>have reported</w:t>
      </w:r>
      <w:r w:rsidR="001E1A2E">
        <w:t xml:space="preserve"> an increase in the number of migrant and refugee women who are seeking </w:t>
      </w:r>
      <w:r w:rsidR="00E01279">
        <w:t xml:space="preserve">or being referred for </w:t>
      </w:r>
      <w:r w:rsidR="001E1A2E">
        <w:t xml:space="preserve">assistance for family violence. </w:t>
      </w:r>
      <w:r w:rsidR="00E01279">
        <w:t>B</w:t>
      </w:r>
      <w:r w:rsidR="001E1A2E">
        <w:t>arriers to</w:t>
      </w:r>
      <w:r w:rsidR="00E01279">
        <w:t xml:space="preserve"> service</w:t>
      </w:r>
      <w:r w:rsidR="001E1A2E">
        <w:t xml:space="preserve"> access for migrant and refugee women </w:t>
      </w:r>
      <w:r w:rsidR="001E1A2E">
        <w:lastRenderedPageBreak/>
        <w:t>have been exacerbated by COVID-19</w:t>
      </w:r>
      <w:r w:rsidR="00E01279">
        <w:t xml:space="preserve"> restrictions</w:t>
      </w:r>
      <w:r w:rsidR="001E1A2E">
        <w:t xml:space="preserve">, and there are concerns that migrant women will continue to experience severe and prolonged violence. </w:t>
      </w:r>
    </w:p>
    <w:p w14:paraId="7BBBB898" w14:textId="2D77105F" w:rsidR="00E42465" w:rsidRPr="0086631B" w:rsidRDefault="00E42465" w:rsidP="0086631B">
      <w:pPr>
        <w:pStyle w:val="WMHAbodytext"/>
      </w:pPr>
      <w:r>
        <w:t xml:space="preserve">Men’s behaviour change programs </w:t>
      </w:r>
      <w:r w:rsidR="00E01279">
        <w:t>have been</w:t>
      </w:r>
      <w:r>
        <w:t xml:space="preserve"> unable to </w:t>
      </w:r>
      <w:r w:rsidR="00E01279">
        <w:t xml:space="preserve">hold </w:t>
      </w:r>
      <w:r>
        <w:t>in</w:t>
      </w:r>
      <w:r w:rsidR="00E01279">
        <w:t>-</w:t>
      </w:r>
      <w:r>
        <w:t xml:space="preserve">person </w:t>
      </w:r>
      <w:r w:rsidR="00E01279">
        <w:t xml:space="preserve">meetings </w:t>
      </w:r>
      <w:r>
        <w:t xml:space="preserve">during lockdowns, negatively impacting a service’s ability to assess and manage risk with perpetrators and victim-survivors. Further, without the perpetrator leaving the home to attend a weekly program, victim-survivors still living with the perpetrator </w:t>
      </w:r>
      <w:r w:rsidR="00E01279">
        <w:t>have been</w:t>
      </w:r>
      <w:r>
        <w:t xml:space="preserve"> unable to experience any time away, negative</w:t>
      </w:r>
      <w:r w:rsidR="00E01279">
        <w:t>ly</w:t>
      </w:r>
      <w:r>
        <w:t xml:space="preserve"> impact</w:t>
      </w:r>
      <w:r w:rsidR="00E01279">
        <w:t>ing</w:t>
      </w:r>
      <w:r>
        <w:t xml:space="preserve"> their mental wellbeing and self-care and safety strategies.</w:t>
      </w:r>
    </w:p>
    <w:p w14:paraId="1B6E2820" w14:textId="77777777" w:rsidR="0086631B" w:rsidRPr="0086631B" w:rsidRDefault="0086631B" w:rsidP="0086631B">
      <w:pPr>
        <w:pStyle w:val="WHVSubheading"/>
      </w:pPr>
      <w:r w:rsidRPr="0086631B">
        <w:t>Increased demand for perinatal services, with higher rates of mental distress</w:t>
      </w:r>
    </w:p>
    <w:p w14:paraId="6C0616AF" w14:textId="72A5518B" w:rsidR="0086631B" w:rsidRPr="0086631B" w:rsidRDefault="0086631B" w:rsidP="0086631B">
      <w:pPr>
        <w:pStyle w:val="WMHAbodytext"/>
      </w:pPr>
      <w:r w:rsidRPr="0086631B">
        <w:t xml:space="preserve">Area Mental Health clinicians report an increase in demand for perinatal </w:t>
      </w:r>
      <w:r w:rsidR="003C63D2" w:rsidRPr="00002538">
        <w:t>mental health</w:t>
      </w:r>
      <w:r w:rsidR="003C63D2">
        <w:t xml:space="preserve"> </w:t>
      </w:r>
      <w:r w:rsidRPr="0086631B">
        <w:t xml:space="preserve">services, noting that </w:t>
      </w:r>
      <w:r w:rsidR="003C63D2">
        <w:t>H</w:t>
      </w:r>
      <w:r w:rsidR="003C63D2" w:rsidRPr="0086631B">
        <w:t xml:space="preserve">ospital in the </w:t>
      </w:r>
      <w:r w:rsidR="003C63D2">
        <w:t>H</w:t>
      </w:r>
      <w:r w:rsidR="003C63D2" w:rsidRPr="0086631B">
        <w:t xml:space="preserve">ome </w:t>
      </w:r>
      <w:r w:rsidRPr="0086631B">
        <w:t xml:space="preserve">models of have worked well </w:t>
      </w:r>
      <w:r w:rsidR="003C63D2">
        <w:t>with</w:t>
      </w:r>
      <w:r w:rsidRPr="0086631B">
        <w:t xml:space="preserve"> this cohort.</w:t>
      </w:r>
    </w:p>
    <w:p w14:paraId="016A5BB3" w14:textId="57E30B0E" w:rsidR="0086631B" w:rsidRDefault="0086631B" w:rsidP="0086631B">
      <w:pPr>
        <w:pStyle w:val="WMHAbodytext"/>
      </w:pPr>
      <w:r w:rsidRPr="0086631B">
        <w:t xml:space="preserve">Perinatal mental health clinicians at </w:t>
      </w:r>
      <w:r w:rsidR="00002538" w:rsidRPr="0086631B">
        <w:t>the Masada Early Parenting Centre</w:t>
      </w:r>
      <w:r w:rsidR="00002538">
        <w:t xml:space="preserve"> (Ramsay Health)</w:t>
      </w:r>
      <w:r w:rsidRPr="0086631B">
        <w:t xml:space="preserve"> note that the pandemic is impacting clinical services. For example, visitors are not allowed and women cannot leave the Unit once admitted, which is unsettling for them. They are also only able to see their partners if the</w:t>
      </w:r>
      <w:r w:rsidR="00002538">
        <w:t>ir partners</w:t>
      </w:r>
      <w:r w:rsidRPr="0086631B">
        <w:t xml:space="preserve"> are also willing</w:t>
      </w:r>
      <w:r w:rsidR="00FF1C2D">
        <w:t xml:space="preserve"> and able</w:t>
      </w:r>
      <w:r w:rsidRPr="0086631B">
        <w:t xml:space="preserve"> to be inside for the full five-day program. A higher than usual level of anxiety, increased mistrust, irritability and anger has been noticed among the women admitted. Over 700 women approached the Masada Early Parenting Centre for care</w:t>
      </w:r>
      <w:r w:rsidR="00615BE9">
        <w:t xml:space="preserve"> in the three months to September 2021.</w:t>
      </w:r>
      <w:r w:rsidRPr="0086631B">
        <w:t xml:space="preserve"> </w:t>
      </w:r>
    </w:p>
    <w:p w14:paraId="65A8F009" w14:textId="54378E90" w:rsidR="001E1A2E" w:rsidRPr="0086631B" w:rsidRDefault="001E1A2E" w:rsidP="0086631B">
      <w:pPr>
        <w:pStyle w:val="WMHAbodytext"/>
      </w:pPr>
      <w:r>
        <w:t xml:space="preserve">MCWH reports that COVID-19 lockdowns and border closures have reduced migrant and refugee women’s access to support, which has exacerbated perinatal mental health issues. </w:t>
      </w:r>
      <w:bookmarkStart w:id="1" w:name="_Hlk86314593"/>
      <w:r>
        <w:t>Migrant</w:t>
      </w:r>
      <w:r w:rsidR="002B72FA">
        <w:t xml:space="preserve"> women</w:t>
      </w:r>
      <w:r>
        <w:t xml:space="preserve"> with short length of residency, those who are socially isolated, and those experiencing financial hardship are particularly at risk. </w:t>
      </w:r>
      <w:r w:rsidR="00170C2C">
        <w:t xml:space="preserve"> </w:t>
      </w:r>
      <w:bookmarkEnd w:id="1"/>
    </w:p>
    <w:p w14:paraId="5D976175" w14:textId="2D651B76" w:rsidR="0086631B" w:rsidRPr="0086631B" w:rsidRDefault="0086631B" w:rsidP="0086631B">
      <w:pPr>
        <w:pStyle w:val="WHVSubheading"/>
      </w:pPr>
      <w:r w:rsidRPr="0086631B">
        <w:t>Public discourse around COVID negatively affecting the mental health of women with disabilities</w:t>
      </w:r>
    </w:p>
    <w:p w14:paraId="1382A87D" w14:textId="04DB9F28" w:rsidR="0086631B" w:rsidRPr="0086631B" w:rsidRDefault="0086631B" w:rsidP="0086631B">
      <w:pPr>
        <w:pStyle w:val="WMHAbodytext"/>
      </w:pPr>
      <w:r w:rsidRPr="0086631B">
        <w:t xml:space="preserve">Public discussion </w:t>
      </w:r>
      <w:r w:rsidR="003C63D2">
        <w:t>about</w:t>
      </w:r>
      <w:r w:rsidRPr="0086631B">
        <w:t xml:space="preserve"> rising </w:t>
      </w:r>
      <w:r w:rsidR="003C63D2">
        <w:t>d</w:t>
      </w:r>
      <w:r w:rsidRPr="0086631B">
        <w:t xml:space="preserve">emand </w:t>
      </w:r>
      <w:r w:rsidR="003C63D2">
        <w:t>for health</w:t>
      </w:r>
      <w:r w:rsidR="00B801E0">
        <w:t xml:space="preserve"> </w:t>
      </w:r>
      <w:r w:rsidR="003C63D2">
        <w:t xml:space="preserve">care due to COVID-19 </w:t>
      </w:r>
      <w:r w:rsidRPr="0086631B">
        <w:t>has involved talk of de-prioritising people with disabilities for health care</w:t>
      </w:r>
      <w:r w:rsidR="00002538">
        <w:t xml:space="preserve">. </w:t>
      </w:r>
      <w:r w:rsidRPr="0086631B">
        <w:t xml:space="preserve">Women with Disabilities Victoria report that </w:t>
      </w:r>
      <w:r w:rsidR="00B801E0">
        <w:t>this discourse has had a psychological impact on women with disabilities, leading to them feeling</w:t>
      </w:r>
      <w:r w:rsidRPr="0086631B">
        <w:t xml:space="preserve"> de-valued </w:t>
      </w:r>
      <w:r w:rsidR="00B801E0">
        <w:t>and</w:t>
      </w:r>
      <w:r w:rsidRPr="0086631B">
        <w:t xml:space="preserve"> turning away from news reports as a coping mechanism. </w:t>
      </w:r>
    </w:p>
    <w:p w14:paraId="168674DE" w14:textId="7875845D" w:rsidR="0086631B" w:rsidRPr="0086631B" w:rsidRDefault="0086631B" w:rsidP="0086631B">
      <w:pPr>
        <w:pStyle w:val="WMHAbodytext"/>
      </w:pPr>
      <w:r w:rsidRPr="0086631B">
        <w:t>Public discussion a</w:t>
      </w:r>
      <w:r w:rsidR="00B801E0">
        <w:t>bout</w:t>
      </w:r>
      <w:r w:rsidRPr="0086631B">
        <w:t xml:space="preserve"> COVID patients with ‘underlying conditions’ suffering the most </w:t>
      </w:r>
      <w:r w:rsidR="00B801E0">
        <w:t>–</w:t>
      </w:r>
      <w:r w:rsidRPr="0086631B">
        <w:t xml:space="preserve"> without</w:t>
      </w:r>
      <w:r w:rsidR="00B801E0">
        <w:t xml:space="preserve"> explanation of which</w:t>
      </w:r>
      <w:r w:rsidRPr="0086631B">
        <w:t xml:space="preserve"> </w:t>
      </w:r>
      <w:r w:rsidR="00B801E0">
        <w:t>underlying conditions are being referred to or</w:t>
      </w:r>
      <w:r w:rsidRPr="0086631B">
        <w:t xml:space="preserve"> how they interplay with </w:t>
      </w:r>
      <w:r w:rsidR="00B801E0">
        <w:t>COVID</w:t>
      </w:r>
      <w:r w:rsidRPr="0086631B">
        <w:t xml:space="preserve"> </w:t>
      </w:r>
      <w:r w:rsidR="00B801E0">
        <w:t xml:space="preserve">– </w:t>
      </w:r>
      <w:r w:rsidRPr="0086631B">
        <w:t>has</w:t>
      </w:r>
      <w:r w:rsidR="00B801E0">
        <w:t xml:space="preserve"> </w:t>
      </w:r>
      <w:r w:rsidRPr="0086631B">
        <w:t>increased fear among women with disabilities. Some feel that this disc</w:t>
      </w:r>
      <w:r w:rsidR="00B801E0">
        <w:t>ourse</w:t>
      </w:r>
      <w:r w:rsidRPr="0086631B">
        <w:t xml:space="preserve"> 'blames the victim' for having an underlying condition rather than address</w:t>
      </w:r>
      <w:r w:rsidR="00B801E0">
        <w:t xml:space="preserve">ing barriers to access to </w:t>
      </w:r>
      <w:r w:rsidR="00131BF2">
        <w:t>preventive and protective measures</w:t>
      </w:r>
      <w:r w:rsidRPr="0086631B">
        <w:t>. </w:t>
      </w:r>
      <w:r w:rsidR="00131BF2">
        <w:t>At the same time, w</w:t>
      </w:r>
      <w:r w:rsidRPr="0086631B">
        <w:t xml:space="preserve">omen with disabilities </w:t>
      </w:r>
      <w:r w:rsidR="00131BF2">
        <w:t xml:space="preserve">highlight </w:t>
      </w:r>
      <w:r w:rsidRPr="0086631B">
        <w:t xml:space="preserve">a lack of understanding of the risks they face if they have an underlying condition and contract COVID. This </w:t>
      </w:r>
      <w:r w:rsidR="00131BF2">
        <w:t>is exacerbated by lack of equitable access to vaccines for people with disabilities and support workers (despite being a priority group), resulting in</w:t>
      </w:r>
      <w:r w:rsidRPr="0086631B">
        <w:t xml:space="preserve"> fear, reduction and</w:t>
      </w:r>
      <w:r w:rsidR="00131BF2">
        <w:t>/or</w:t>
      </w:r>
      <w:r w:rsidRPr="0086631B">
        <w:t xml:space="preserve"> loss of services</w:t>
      </w:r>
      <w:r w:rsidR="00131BF2">
        <w:t>,</w:t>
      </w:r>
      <w:r w:rsidRPr="0086631B">
        <w:t xml:space="preserve"> and health risks.</w:t>
      </w:r>
    </w:p>
    <w:p w14:paraId="5643758C" w14:textId="77777777" w:rsidR="00A77C3F" w:rsidRDefault="00A77C3F" w:rsidP="0086631B">
      <w:pPr>
        <w:pStyle w:val="WHVSubheading"/>
      </w:pPr>
    </w:p>
    <w:p w14:paraId="40EC9322" w14:textId="1D47603B" w:rsidR="00EC4896" w:rsidRDefault="00EC4896" w:rsidP="0086631B">
      <w:pPr>
        <w:pStyle w:val="WHVSubheading"/>
      </w:pPr>
      <w:r>
        <w:lastRenderedPageBreak/>
        <w:t>Barriers to accessing mental health services</w:t>
      </w:r>
      <w:r w:rsidR="009C0EDC">
        <w:t xml:space="preserve"> among Muslim women</w:t>
      </w:r>
    </w:p>
    <w:p w14:paraId="750D03A1" w14:textId="40E0E27B" w:rsidR="00EC4896" w:rsidRDefault="00131BF2" w:rsidP="00EC4896">
      <w:pPr>
        <w:pStyle w:val="WMHAbodytext"/>
      </w:pPr>
      <w:r>
        <w:t>Structural barriers to navigating and accessing mental health and other services – including a reduction in face-to-face outreach support – has contributed to increased i</w:t>
      </w:r>
      <w:r w:rsidR="00EC4896">
        <w:t>solation</w:t>
      </w:r>
      <w:r>
        <w:t xml:space="preserve">, </w:t>
      </w:r>
      <w:r w:rsidR="00EC4896">
        <w:t>anxiety and stress among Muslim women</w:t>
      </w:r>
      <w:r w:rsidR="00C86A4D">
        <w:t>.</w:t>
      </w:r>
    </w:p>
    <w:p w14:paraId="1B1D5C76" w14:textId="5D038DAF" w:rsidR="00C86A4D" w:rsidRPr="00E35F15" w:rsidRDefault="00C86A4D" w:rsidP="00C86A4D">
      <w:pPr>
        <w:pStyle w:val="WMHAbodytext"/>
        <w:rPr>
          <w:rFonts w:cstheme="minorHAnsi"/>
        </w:rPr>
      </w:pPr>
      <w:r>
        <w:t xml:space="preserve">Advice regarding the mental health impacts of COVID has directed people to their GP. However, </w:t>
      </w:r>
      <w:r>
        <w:rPr>
          <w:rFonts w:cstheme="minorHAnsi"/>
        </w:rPr>
        <w:t>many refugee and migrant families do not have a regular GP. Without an established relationship with a GP, there may be a lack of trust, resulting in fewer opportunities for prevention or early intervention in mental health.</w:t>
      </w:r>
    </w:p>
    <w:p w14:paraId="61D5AC9E" w14:textId="604A138B" w:rsidR="00EC4896" w:rsidRDefault="00EC4896" w:rsidP="00EC4896">
      <w:pPr>
        <w:pStyle w:val="WMHAbodytext"/>
        <w:rPr>
          <w:rFonts w:cstheme="minorHAnsi"/>
        </w:rPr>
      </w:pPr>
      <w:r>
        <w:rPr>
          <w:rFonts w:cstheme="minorHAnsi"/>
        </w:rPr>
        <w:t>The AMWCHR reports that there is a low level of mental health literacy among many Muslim women. There are many different Muslim co</w:t>
      </w:r>
      <w:r w:rsidR="00C86A4D">
        <w:rPr>
          <w:rFonts w:cstheme="minorHAnsi"/>
        </w:rPr>
        <w:t>mmunities</w:t>
      </w:r>
      <w:r>
        <w:rPr>
          <w:rFonts w:cstheme="minorHAnsi"/>
        </w:rPr>
        <w:t xml:space="preserve"> from all over the world, </w:t>
      </w:r>
      <w:r w:rsidR="00C86A4D">
        <w:rPr>
          <w:rFonts w:cstheme="minorHAnsi"/>
        </w:rPr>
        <w:t xml:space="preserve">with </w:t>
      </w:r>
      <w:r>
        <w:rPr>
          <w:rFonts w:cstheme="minorHAnsi"/>
        </w:rPr>
        <w:t xml:space="preserve">different understandings of </w:t>
      </w:r>
      <w:r w:rsidR="00C86A4D">
        <w:rPr>
          <w:rFonts w:cstheme="minorHAnsi"/>
        </w:rPr>
        <w:t>mental health and wellbeing</w:t>
      </w:r>
      <w:r>
        <w:rPr>
          <w:rFonts w:cstheme="minorHAnsi"/>
        </w:rPr>
        <w:t>. Stereotypes of mental illness are pervasive, and there can be a tendency to minimise and dismiss mental health concerns</w:t>
      </w:r>
      <w:r w:rsidR="00C86A4D">
        <w:rPr>
          <w:rFonts w:cstheme="minorHAnsi"/>
        </w:rPr>
        <w:t>.</w:t>
      </w:r>
      <w:r>
        <w:rPr>
          <w:rFonts w:cstheme="minorHAnsi"/>
        </w:rPr>
        <w:t xml:space="preserve"> Refugee women may also dismiss experiences of racism and trauma (or family violence) in Australia when compared </w:t>
      </w:r>
      <w:r w:rsidR="00C86A4D">
        <w:rPr>
          <w:rFonts w:cstheme="minorHAnsi"/>
        </w:rPr>
        <w:t xml:space="preserve">with experiences </w:t>
      </w:r>
      <w:r>
        <w:rPr>
          <w:rFonts w:cstheme="minorHAnsi"/>
        </w:rPr>
        <w:t>in their country of origin.</w:t>
      </w:r>
    </w:p>
    <w:p w14:paraId="47ECEFAE" w14:textId="58A40429" w:rsidR="00C86A4D" w:rsidRPr="00C86A4D" w:rsidRDefault="00C86A4D" w:rsidP="00EC4896">
      <w:pPr>
        <w:pStyle w:val="WMHAbodytext"/>
      </w:pPr>
      <w:r>
        <w:t>Stigma and shame around COVID also mean that there is a fear of getting tested and vaccinated among Muslim women.</w:t>
      </w:r>
    </w:p>
    <w:p w14:paraId="3F3E17A1" w14:textId="581477E6" w:rsidR="0086631B" w:rsidRPr="0086631B" w:rsidRDefault="0086631B" w:rsidP="0086631B">
      <w:pPr>
        <w:pStyle w:val="WHVSubheading"/>
      </w:pPr>
      <w:r w:rsidRPr="0086631B">
        <w:t xml:space="preserve">Lack of </w:t>
      </w:r>
      <w:r w:rsidR="001520D1">
        <w:t xml:space="preserve">availability of </w:t>
      </w:r>
      <w:r w:rsidRPr="0086631B">
        <w:t>mental health and other supports</w:t>
      </w:r>
    </w:p>
    <w:p w14:paraId="11840AB8" w14:textId="77777777" w:rsidR="002B72FA" w:rsidRDefault="00B267CF" w:rsidP="002B72FA">
      <w:pPr>
        <w:pStyle w:val="WMHAbodytext"/>
      </w:pPr>
      <w:r w:rsidRPr="00B267CF">
        <w:t xml:space="preserve">As noted above, health professionals </w:t>
      </w:r>
      <w:r w:rsidR="0086631B" w:rsidRPr="00B267CF">
        <w:t xml:space="preserve">working outside mental health </w:t>
      </w:r>
      <w:r w:rsidRPr="00B267CF">
        <w:t xml:space="preserve">are </w:t>
      </w:r>
      <w:r w:rsidR="0086631B" w:rsidRPr="00B267CF">
        <w:t>report</w:t>
      </w:r>
      <w:r w:rsidRPr="00B267CF">
        <w:t>ing</w:t>
      </w:r>
      <w:r w:rsidR="0086631B" w:rsidRPr="00B267CF">
        <w:t xml:space="preserve"> that women are turning to the</w:t>
      </w:r>
      <w:r w:rsidRPr="00B267CF">
        <w:t xml:space="preserve">m </w:t>
      </w:r>
      <w:r w:rsidR="0086631B" w:rsidRPr="00B267CF">
        <w:t xml:space="preserve">for mental health support because </w:t>
      </w:r>
      <w:r w:rsidRPr="00B267CF">
        <w:t>the huge demand for mental health s</w:t>
      </w:r>
      <w:r>
        <w:t>upport</w:t>
      </w:r>
      <w:r w:rsidRPr="00B267CF">
        <w:t xml:space="preserve"> has meant there is no availability among </w:t>
      </w:r>
      <w:r w:rsidR="0086631B" w:rsidRPr="00B267CF">
        <w:t xml:space="preserve">psychologists. </w:t>
      </w:r>
    </w:p>
    <w:p w14:paraId="73540912" w14:textId="74684743" w:rsidR="002B72FA" w:rsidRDefault="002B72FA" w:rsidP="002B72FA">
      <w:pPr>
        <w:pStyle w:val="WMHAbodytext"/>
      </w:pPr>
      <w:r>
        <w:t>Specialist Family Violence Advisors have also reported that throughout lockdowns, victim-survivors and perpetrators have been attending Area Mental Health Services and emergency departments when they were unable to access other in-person services, such as family violence and alcohol and other drug support.</w:t>
      </w:r>
    </w:p>
    <w:p w14:paraId="24D37524" w14:textId="77777777" w:rsidR="002B72FA" w:rsidRPr="0086631B" w:rsidRDefault="002B72FA" w:rsidP="002B72FA">
      <w:pPr>
        <w:pStyle w:val="WMHAbodytext"/>
      </w:pPr>
      <w:r>
        <w:t xml:space="preserve">Victim-survivors of family violence on temporary visas have been unable to access mental health supports as they are not eligible for government services such as Medicare. This means that their mental health needs were unmet at a time when the frequency and severity of family violence has increased, including first time experiences of family violence. </w:t>
      </w:r>
    </w:p>
    <w:p w14:paraId="1BBB7090" w14:textId="63D823E4" w:rsidR="0086631B" w:rsidRDefault="0086631B" w:rsidP="0086631B">
      <w:pPr>
        <w:pStyle w:val="WMHAbodytext"/>
      </w:pPr>
      <w:r w:rsidRPr="0086631B">
        <w:t xml:space="preserve">Women with disabilities have also reported a reduction or loss of therapeutic supports. Peer and formal supports break down </w:t>
      </w:r>
      <w:r w:rsidR="00B267CF">
        <w:t>during</w:t>
      </w:r>
      <w:r w:rsidRPr="0086631B">
        <w:t xml:space="preserve"> disasters, </w:t>
      </w:r>
      <w:r w:rsidR="00B267CF">
        <w:t>and this</w:t>
      </w:r>
      <w:r w:rsidRPr="0086631B">
        <w:t xml:space="preserve"> has serious impacts on daily living for people with disabilities, </w:t>
      </w:r>
      <w:r w:rsidR="00B267CF">
        <w:t xml:space="preserve">including increased </w:t>
      </w:r>
      <w:r w:rsidRPr="0086631B">
        <w:t xml:space="preserve">social isolation. </w:t>
      </w:r>
      <w:r w:rsidR="00B267CF">
        <w:t>For example, s</w:t>
      </w:r>
      <w:r w:rsidRPr="0086631B">
        <w:t xml:space="preserve">upport workers </w:t>
      </w:r>
      <w:r w:rsidR="00B267CF">
        <w:t>are no longer able to</w:t>
      </w:r>
      <w:r w:rsidRPr="0086631B">
        <w:t xml:space="preserve"> come into homes to help with eating, personal care and parenting supports</w:t>
      </w:r>
      <w:r w:rsidR="00B267CF">
        <w:t>. At the same time, access to external services becomes more difficult due to travel restrictions, fear and anxiety, and lack of access to vaccination – especially since d</w:t>
      </w:r>
      <w:r w:rsidRPr="0086631B">
        <w:t>isability services have been places of high infection risk during COVID-19</w:t>
      </w:r>
      <w:r w:rsidR="00B267CF">
        <w:t xml:space="preserve">. </w:t>
      </w:r>
    </w:p>
    <w:p w14:paraId="52973F4A" w14:textId="77777777" w:rsidR="00A77C3F" w:rsidRDefault="00A77C3F" w:rsidP="00EC4896">
      <w:pPr>
        <w:pStyle w:val="WHVSubheading"/>
      </w:pPr>
    </w:p>
    <w:p w14:paraId="043CAC31" w14:textId="77777777" w:rsidR="00A77C3F" w:rsidRDefault="00A77C3F" w:rsidP="00EC4896">
      <w:pPr>
        <w:pStyle w:val="WHVSubheading"/>
      </w:pPr>
    </w:p>
    <w:p w14:paraId="5F21AF22" w14:textId="77777777" w:rsidR="00A77C3F" w:rsidRDefault="00A77C3F" w:rsidP="00EC4896">
      <w:pPr>
        <w:pStyle w:val="WHVSubheading"/>
      </w:pPr>
    </w:p>
    <w:p w14:paraId="27FC8BD4" w14:textId="26A69152" w:rsidR="00EC4896" w:rsidRPr="00AC0827" w:rsidRDefault="001520D1" w:rsidP="00EC4896">
      <w:pPr>
        <w:pStyle w:val="WHVSubheading"/>
      </w:pPr>
      <w:r>
        <w:lastRenderedPageBreak/>
        <w:t>Service innovations</w:t>
      </w:r>
      <w:r w:rsidR="00EC4896" w:rsidRPr="00AC0827">
        <w:t xml:space="preserve"> </w:t>
      </w:r>
    </w:p>
    <w:p w14:paraId="31AA2990" w14:textId="69591364" w:rsidR="004718E6" w:rsidRDefault="003E6C1A" w:rsidP="00EC4896">
      <w:pPr>
        <w:pStyle w:val="WMHAbodytext"/>
      </w:pPr>
      <w:bookmarkStart w:id="2" w:name="_Hlk85613158"/>
      <w:r>
        <w:rPr>
          <w:rFonts w:eastAsia="Times New Roman" w:cs="Arial"/>
          <w:color w:val="000000"/>
          <w:shd w:val="clear" w:color="auto" w:fill="FFFFFF"/>
        </w:rPr>
        <w:t xml:space="preserve">Access to the internet </w:t>
      </w:r>
      <w:r w:rsidR="00170C2C">
        <w:rPr>
          <w:rFonts w:eastAsia="Times New Roman" w:cs="Arial"/>
          <w:color w:val="000000"/>
          <w:shd w:val="clear" w:color="auto" w:fill="FFFFFF"/>
        </w:rPr>
        <w:t xml:space="preserve">has been </w:t>
      </w:r>
      <w:r>
        <w:rPr>
          <w:rFonts w:eastAsia="Times New Roman" w:cs="Arial"/>
          <w:color w:val="000000"/>
          <w:shd w:val="clear" w:color="auto" w:fill="FFFFFF"/>
        </w:rPr>
        <w:t xml:space="preserve">important </w:t>
      </w:r>
      <w:r w:rsidR="00170C2C">
        <w:rPr>
          <w:rFonts w:eastAsia="Times New Roman" w:cs="Arial"/>
          <w:color w:val="000000"/>
          <w:shd w:val="clear" w:color="auto" w:fill="FFFFFF"/>
        </w:rPr>
        <w:t>during</w:t>
      </w:r>
      <w:r>
        <w:rPr>
          <w:rFonts w:eastAsia="Times New Roman" w:cs="Arial"/>
          <w:color w:val="000000"/>
          <w:shd w:val="clear" w:color="auto" w:fill="FFFFFF"/>
        </w:rPr>
        <w:t xml:space="preserve"> lockdown for connecting with social networks, employment, and all kinds of essential services and information. However, many women with disabilities do not have access to the internet due to a range of factors including financial pressures, literacy levels, technology experience levels and issues with dexterity, hearing and speech. The internet can also present safety risks such as scams and technology-facilitated gendered violence. The Self Advocacy Resource Unit (SARU) received a grant to breach this digital divide, providing smart-tablets to people with disabilities. Regular self-advocacy groups gave participants opportunities to practi</w:t>
      </w:r>
      <w:r w:rsidR="00170C2C">
        <w:rPr>
          <w:rFonts w:eastAsia="Times New Roman" w:cs="Arial"/>
          <w:color w:val="000000"/>
          <w:shd w:val="clear" w:color="auto" w:fill="FFFFFF"/>
        </w:rPr>
        <w:t>s</w:t>
      </w:r>
      <w:r>
        <w:rPr>
          <w:rFonts w:eastAsia="Times New Roman" w:cs="Arial"/>
          <w:color w:val="000000"/>
          <w:shd w:val="clear" w:color="auto" w:fill="FFFFFF"/>
        </w:rPr>
        <w:t>e using tablets and access the internet safely. This approach has empowered many women with disabilities to maintain social connections and access information during the pandemic</w:t>
      </w:r>
      <w:r w:rsidR="008C1FA4">
        <w:t>.</w:t>
      </w:r>
    </w:p>
    <w:p w14:paraId="71ECBF10" w14:textId="77777777" w:rsidR="00170C2C" w:rsidRDefault="00170C2C" w:rsidP="00170C2C">
      <w:pPr>
        <w:pStyle w:val="WMHAbodytext"/>
      </w:pPr>
      <w:r>
        <w:t xml:space="preserve">With the pandemic removing opportunities for face-to-face community outreach, AMWHRC offered digital literacy training for Muslim women, allowing them to engage online. Online support removed transport barriers and women remain highly engaged overall. However, the transition to digital services initially resulted in a drop in engagement among young women, who were reluctant to spend more time online. To address this, AMWCHR engaged young women via Instagram and set up a counsellor texting service so they can contact counsellors in the way that works best for them. These service adaptations have been successful. </w:t>
      </w:r>
    </w:p>
    <w:p w14:paraId="40633346" w14:textId="3003B4DC" w:rsidR="001E1A2E" w:rsidRPr="00997B5D" w:rsidRDefault="001E1A2E" w:rsidP="00EC4896">
      <w:pPr>
        <w:pStyle w:val="WMHAbodytext"/>
      </w:pPr>
      <w:r>
        <w:t xml:space="preserve">The Workforce of Multilingual Health Educators (WOMHEn) project (coordinated by Gender Equity Victoria and MCWH) employed 50 women across 10 metropolitan and regional services, with a linguistic diversity of 20 different languages, to provide in-language education on COVID-19, </w:t>
      </w:r>
      <w:r w:rsidR="00170C2C">
        <w:t>m</w:t>
      </w:r>
      <w:r>
        <w:t xml:space="preserve">ental </w:t>
      </w:r>
      <w:r w:rsidR="00170C2C">
        <w:t>h</w:t>
      </w:r>
      <w:r>
        <w:t xml:space="preserve">ealth and other women’s health issues. Almost 100 sessions have been conducted, reaching over 1800 migrant and refugee women. </w:t>
      </w:r>
      <w:r w:rsidR="003515DC">
        <w:t xml:space="preserve">The WOMHEn project has demonstrated the value of </w:t>
      </w:r>
      <w:r w:rsidR="00A77C3F">
        <w:t xml:space="preserve">a </w:t>
      </w:r>
      <w:r w:rsidR="003515DC">
        <w:t xml:space="preserve">coordinated, preventative health education and promotion workforce </w:t>
      </w:r>
      <w:r w:rsidR="00A77C3F">
        <w:t>that can provide place-based in-language support to migrant and refugee women in their own communities.</w:t>
      </w:r>
      <w:r w:rsidR="00A77C3F">
        <w:rPr>
          <w:rStyle w:val="FootnoteReference"/>
        </w:rPr>
        <w:footnoteReference w:id="5"/>
      </w:r>
      <w:r w:rsidR="00A77C3F">
        <w:t xml:space="preserve"> </w:t>
      </w:r>
      <w:r w:rsidR="003515DC">
        <w:t>The health educators</w:t>
      </w:r>
      <w:r w:rsidR="00A77C3F">
        <w:t xml:space="preserve"> themselves</w:t>
      </w:r>
      <w:r w:rsidR="003515DC">
        <w:t xml:space="preserve"> report that the program supported their own mental health by empowering them and giving them financial independence and a sense of optimism. </w:t>
      </w:r>
    </w:p>
    <w:bookmarkEnd w:id="2"/>
    <w:p w14:paraId="1CF20CCA" w14:textId="1E564379" w:rsidR="000322D7" w:rsidRPr="00592A6D" w:rsidRDefault="00592A6D" w:rsidP="00592A6D">
      <w:pPr>
        <w:pStyle w:val="WHVSubheading"/>
        <w:rPr>
          <w:sz w:val="32"/>
          <w:szCs w:val="56"/>
        </w:rPr>
      </w:pPr>
      <w:r w:rsidRPr="00592A6D">
        <w:rPr>
          <w:sz w:val="32"/>
          <w:szCs w:val="56"/>
        </w:rPr>
        <w:t>Recommendations</w:t>
      </w:r>
    </w:p>
    <w:p w14:paraId="7BCA3318" w14:textId="7E4A2867" w:rsidR="00592A6D" w:rsidRDefault="00592A6D" w:rsidP="00B267CF">
      <w:pPr>
        <w:pStyle w:val="WMHAbodytext"/>
      </w:pPr>
      <w:r>
        <w:t xml:space="preserve">The Alliance reiterates </w:t>
      </w:r>
      <w:r w:rsidR="00170C2C">
        <w:t xml:space="preserve">and builds on </w:t>
      </w:r>
      <w:r>
        <w:t xml:space="preserve">the recommendations made in its </w:t>
      </w:r>
      <w:hyperlink r:id="rId11" w:history="1">
        <w:r w:rsidR="00A7679A" w:rsidRPr="00A7679A">
          <w:rPr>
            <w:rStyle w:val="Hyperlink"/>
          </w:rPr>
          <w:t>October 2020 policy brief on the impacts of COVID-19 on women’s mental health</w:t>
        </w:r>
      </w:hyperlink>
      <w:r w:rsidR="00A7679A">
        <w:t>, in particular</w:t>
      </w:r>
      <w:r w:rsidR="00467DD6">
        <w:t xml:space="preserve"> recommendations to</w:t>
      </w:r>
      <w:r w:rsidR="00A7679A">
        <w:t>:</w:t>
      </w:r>
    </w:p>
    <w:p w14:paraId="058EA0F4" w14:textId="0821912B" w:rsidR="00843ACA" w:rsidRDefault="00843ACA" w:rsidP="00843ACA">
      <w:pPr>
        <w:pStyle w:val="WMHAbodytext"/>
        <w:numPr>
          <w:ilvl w:val="0"/>
          <w:numId w:val="1"/>
        </w:numPr>
      </w:pPr>
      <w:r w:rsidRPr="00843ACA">
        <w:t xml:space="preserve">Ensure women’s equal representation in all COVID-19 response planning and decision making, including investing in specialist women’s organisations </w:t>
      </w:r>
      <w:bookmarkStart w:id="3" w:name="_Hlk53061157"/>
      <w:r w:rsidRPr="00843ACA">
        <w:t xml:space="preserve">working with </w:t>
      </w:r>
      <w:r w:rsidRPr="00843ACA">
        <w:lastRenderedPageBreak/>
        <w:t>women affected by multiple forms of discrimination and disadvantage</w:t>
      </w:r>
      <w:bookmarkEnd w:id="3"/>
      <w:r w:rsidRPr="00843ACA">
        <w:t>, to support gender analysis of crisis response and recovery planning</w:t>
      </w:r>
      <w:r w:rsidR="00467DD6">
        <w:t xml:space="preserve"> (</w:t>
      </w:r>
      <w:r w:rsidR="00467DD6" w:rsidRPr="00467DD6">
        <w:rPr>
          <w:i/>
          <w:iCs/>
        </w:rPr>
        <w:t>Recommendation 1(b)</w:t>
      </w:r>
      <w:r w:rsidR="00467DD6">
        <w:t>)</w:t>
      </w:r>
      <w:r w:rsidR="003515DC">
        <w:t>.</w:t>
      </w:r>
    </w:p>
    <w:p w14:paraId="3F6F1737" w14:textId="3E073278" w:rsidR="00843ACA" w:rsidRPr="00B92DE0" w:rsidRDefault="00843ACA" w:rsidP="00843ACA">
      <w:pPr>
        <w:pStyle w:val="WMHAbodytext"/>
        <w:numPr>
          <w:ilvl w:val="0"/>
          <w:numId w:val="1"/>
        </w:numPr>
      </w:pPr>
      <w:r w:rsidRPr="00843ACA">
        <w:rPr>
          <w:rFonts w:eastAsia="Times New Roman" w:cstheme="minorHAnsi"/>
        </w:rPr>
        <w:t xml:space="preserve">Ensure the universal public health approach is gender- and culturally responsive, enabling women to access mental health information, online resources, helplines and support that best meet their needs, when and where they need it, including by resourcing both generalist mental health helplines and specialist agencies </w:t>
      </w:r>
      <w:r w:rsidR="00467DD6">
        <w:rPr>
          <w:rFonts w:eastAsia="Times New Roman" w:cstheme="minorHAnsi"/>
        </w:rPr>
        <w:t>(</w:t>
      </w:r>
      <w:r w:rsidR="00467DD6" w:rsidRPr="00467DD6">
        <w:rPr>
          <w:rFonts w:eastAsia="Times New Roman" w:cstheme="minorHAnsi"/>
          <w:i/>
          <w:iCs/>
        </w:rPr>
        <w:t>Recommendation 3(b)</w:t>
      </w:r>
      <w:r w:rsidR="00467DD6">
        <w:rPr>
          <w:rFonts w:eastAsia="Times New Roman" w:cstheme="minorHAnsi"/>
        </w:rPr>
        <w:t>)</w:t>
      </w:r>
      <w:r w:rsidR="00951EAE">
        <w:rPr>
          <w:rFonts w:eastAsia="Times New Roman" w:cstheme="minorHAnsi"/>
        </w:rPr>
        <w:t xml:space="preserve">. </w:t>
      </w:r>
      <w:r w:rsidR="00170C2C">
        <w:rPr>
          <w:rFonts w:eastAsia="Times New Roman" w:cstheme="minorHAnsi"/>
        </w:rPr>
        <w:t>In addition, t</w:t>
      </w:r>
      <w:r w:rsidR="00951EAE">
        <w:rPr>
          <w:rFonts w:eastAsia="Times New Roman" w:cstheme="minorHAnsi"/>
        </w:rPr>
        <w:t xml:space="preserve">he universal public health approach must meet </w:t>
      </w:r>
      <w:r w:rsidR="00951EAE" w:rsidRPr="00170C2C">
        <w:rPr>
          <w:rFonts w:eastAsia="Times New Roman" w:cstheme="minorHAnsi"/>
          <w:i/>
          <w:iCs/>
        </w:rPr>
        <w:t>Disability Discrimination Act</w:t>
      </w:r>
      <w:r w:rsidR="00951EAE">
        <w:rPr>
          <w:rFonts w:eastAsia="Times New Roman" w:cstheme="minorHAnsi"/>
        </w:rPr>
        <w:t xml:space="preserve"> obligations.</w:t>
      </w:r>
    </w:p>
    <w:p w14:paraId="740EBC11" w14:textId="0ACADF97" w:rsidR="00B92DE0" w:rsidRPr="00170C2C" w:rsidRDefault="00B92DE0" w:rsidP="00170C2C">
      <w:pPr>
        <w:pStyle w:val="WMHAbodytext"/>
        <w:numPr>
          <w:ilvl w:val="0"/>
          <w:numId w:val="1"/>
        </w:numPr>
      </w:pPr>
      <w:r w:rsidRPr="00B92DE0">
        <w:t>Support perinatal mental health by expanding access to appropriate, affordable support services for women during pregnancy and after a baby’s birth</w:t>
      </w:r>
      <w:r>
        <w:t xml:space="preserve"> </w:t>
      </w:r>
      <w:r w:rsidRPr="00170C2C">
        <w:t>(</w:t>
      </w:r>
      <w:r w:rsidRPr="00170C2C">
        <w:rPr>
          <w:i/>
          <w:iCs/>
        </w:rPr>
        <w:t>Recommendation 3(f)</w:t>
      </w:r>
      <w:r w:rsidRPr="00170C2C">
        <w:t>)</w:t>
      </w:r>
      <w:r w:rsidR="003515DC">
        <w:t>.</w:t>
      </w:r>
    </w:p>
    <w:p w14:paraId="421D4B61" w14:textId="04BEE109" w:rsidR="00467DD6" w:rsidRPr="00467DD6" w:rsidRDefault="009633C4" w:rsidP="00467DD6">
      <w:pPr>
        <w:pStyle w:val="WMHAbodytext"/>
        <w:numPr>
          <w:ilvl w:val="0"/>
          <w:numId w:val="1"/>
        </w:numPr>
      </w:pPr>
      <w:r w:rsidRPr="00467DD6">
        <w:rPr>
          <w:rFonts w:eastAsia="Times New Roman" w:cstheme="minorHAnsi"/>
        </w:rPr>
        <w:t>Invest in workforce development to ensure the mental health workforce is equipped to support women who have experienced gendered violence (</w:t>
      </w:r>
      <w:r w:rsidRPr="00467DD6">
        <w:rPr>
          <w:rFonts w:eastAsia="Times New Roman" w:cstheme="minorHAnsi"/>
          <w:i/>
          <w:iCs/>
        </w:rPr>
        <w:t>Recommendation 3(h)</w:t>
      </w:r>
      <w:r w:rsidRPr="00467DD6">
        <w:rPr>
          <w:rFonts w:eastAsia="Times New Roman" w:cstheme="minorHAnsi"/>
        </w:rPr>
        <w:t>)</w:t>
      </w:r>
      <w:r w:rsidR="00951EAE">
        <w:rPr>
          <w:rFonts w:eastAsia="Times New Roman" w:cstheme="minorHAnsi"/>
        </w:rPr>
        <w:t>. This investment should include capacity</w:t>
      </w:r>
      <w:r w:rsidR="00170C2C">
        <w:rPr>
          <w:rFonts w:eastAsia="Times New Roman" w:cstheme="minorHAnsi"/>
        </w:rPr>
        <w:t>-</w:t>
      </w:r>
      <w:r w:rsidR="00951EAE">
        <w:rPr>
          <w:rFonts w:eastAsia="Times New Roman" w:cstheme="minorHAnsi"/>
        </w:rPr>
        <w:t xml:space="preserve">building to </w:t>
      </w:r>
      <w:r w:rsidR="00170C2C">
        <w:rPr>
          <w:rFonts w:eastAsia="Times New Roman" w:cstheme="minorHAnsi"/>
        </w:rPr>
        <w:t xml:space="preserve">support mental health workers to </w:t>
      </w:r>
      <w:r w:rsidR="00951EAE">
        <w:rPr>
          <w:rFonts w:eastAsia="Times New Roman" w:cstheme="minorHAnsi"/>
        </w:rPr>
        <w:t>fulfil M</w:t>
      </w:r>
      <w:r w:rsidR="00170C2C">
        <w:rPr>
          <w:rFonts w:eastAsia="Times New Roman" w:cstheme="minorHAnsi"/>
        </w:rPr>
        <w:t>ulti-Agency Risk Assessment and Management (MARAM)</w:t>
      </w:r>
      <w:r w:rsidR="00951EAE">
        <w:rPr>
          <w:rFonts w:eastAsia="Times New Roman" w:cstheme="minorHAnsi"/>
        </w:rPr>
        <w:t xml:space="preserve"> responsibilities.</w:t>
      </w:r>
    </w:p>
    <w:p w14:paraId="7A3CB748" w14:textId="23485477" w:rsidR="009633C4" w:rsidRPr="00467DD6" w:rsidRDefault="009633C4" w:rsidP="00467DD6">
      <w:pPr>
        <w:pStyle w:val="WMHAbodytext"/>
        <w:numPr>
          <w:ilvl w:val="0"/>
          <w:numId w:val="1"/>
        </w:numPr>
      </w:pPr>
      <w:r w:rsidRPr="00467DD6">
        <w:rPr>
          <w:rFonts w:eastAsia="Times New Roman" w:cstheme="minorHAnsi"/>
        </w:rPr>
        <w:t>Address systemic barriers to equal access to mental health and other social services and supports for Aboriginal and Torres Strait Islander women, migrant and refugee women and women with disabilities, including by challenging racism and ableism and embedding cultural safety in service delivery (</w:t>
      </w:r>
      <w:r w:rsidR="00467DD6" w:rsidRPr="00467DD6">
        <w:rPr>
          <w:rFonts w:eastAsia="Times New Roman" w:cstheme="minorHAnsi"/>
          <w:i/>
          <w:iCs/>
        </w:rPr>
        <w:t xml:space="preserve">Recommendation </w:t>
      </w:r>
      <w:r w:rsidRPr="00467DD6">
        <w:rPr>
          <w:rFonts w:eastAsia="Times New Roman" w:cstheme="minorHAnsi"/>
          <w:i/>
          <w:iCs/>
        </w:rPr>
        <w:t>3(i)</w:t>
      </w:r>
      <w:r w:rsidRPr="00467DD6">
        <w:rPr>
          <w:rFonts w:eastAsia="Times New Roman" w:cstheme="minorHAnsi"/>
        </w:rPr>
        <w:t>)</w:t>
      </w:r>
    </w:p>
    <w:p w14:paraId="695E0CA6" w14:textId="04A4A164" w:rsidR="00467DD6" w:rsidRPr="00467DD6" w:rsidRDefault="009633C4" w:rsidP="00467DD6">
      <w:pPr>
        <w:pStyle w:val="WMHAbodytext"/>
        <w:numPr>
          <w:ilvl w:val="0"/>
          <w:numId w:val="1"/>
        </w:numPr>
      </w:pPr>
      <w:r w:rsidRPr="00467DD6">
        <w:rPr>
          <w:rFonts w:eastAsia="Times New Roman" w:cstheme="minorHAnsi"/>
        </w:rPr>
        <w:t>Resource organisations working with women affected by multiple forms of discrimination and disadvantage, including the Aboriginal community-controlled sector, to lead COVID-19 response and recovery support and planning for their communities (</w:t>
      </w:r>
      <w:r w:rsidR="00467DD6" w:rsidRPr="00467DD6">
        <w:rPr>
          <w:rFonts w:eastAsia="Times New Roman" w:cstheme="minorHAnsi"/>
          <w:i/>
          <w:iCs/>
        </w:rPr>
        <w:t xml:space="preserve">Recommendation </w:t>
      </w:r>
      <w:r w:rsidRPr="00467DD6">
        <w:rPr>
          <w:rFonts w:eastAsia="Times New Roman" w:cstheme="minorHAnsi"/>
          <w:i/>
          <w:iCs/>
        </w:rPr>
        <w:t>3(j)</w:t>
      </w:r>
      <w:r w:rsidRPr="00467DD6">
        <w:rPr>
          <w:rFonts w:eastAsia="Times New Roman" w:cstheme="minorHAnsi"/>
        </w:rPr>
        <w:t>)</w:t>
      </w:r>
    </w:p>
    <w:p w14:paraId="6C1A5F85" w14:textId="7A791576" w:rsidR="00A7679A" w:rsidRDefault="00467DD6" w:rsidP="00467DD6">
      <w:pPr>
        <w:pStyle w:val="WMHAbodytext"/>
        <w:numPr>
          <w:ilvl w:val="0"/>
          <w:numId w:val="1"/>
        </w:numPr>
      </w:pPr>
      <w:r w:rsidRPr="00467DD6">
        <w:rPr>
          <w:rFonts w:eastAsia="Times New Roman" w:cstheme="minorHAnsi"/>
        </w:rPr>
        <w:t>Provide additional resources to keep women and children safe during public health restrictions and minimise the potential for escalating violence, including increasing investment in safe accommodation, specialist family violence services and legal services, to respond to increased demand and allow for innovations in remote service delivery (</w:t>
      </w:r>
      <w:r w:rsidRPr="00467DD6">
        <w:rPr>
          <w:rFonts w:eastAsia="Times New Roman" w:cstheme="minorHAnsi"/>
          <w:i/>
          <w:iCs/>
        </w:rPr>
        <w:t>Recommendation 4(a)</w:t>
      </w:r>
      <w:r w:rsidRPr="00467DD6">
        <w:rPr>
          <w:rFonts w:eastAsia="Times New Roman" w:cstheme="minorHAnsi"/>
        </w:rPr>
        <w:t>)</w:t>
      </w:r>
      <w:r w:rsidR="00734168">
        <w:rPr>
          <w:rFonts w:eastAsia="Times New Roman" w:cstheme="minorHAnsi"/>
        </w:rPr>
        <w:t xml:space="preserve"> Geographic barriers </w:t>
      </w:r>
      <w:r w:rsidR="006E4D24">
        <w:rPr>
          <w:rFonts w:eastAsia="Times New Roman" w:cstheme="minorHAnsi"/>
        </w:rPr>
        <w:t xml:space="preserve">to service access </w:t>
      </w:r>
      <w:r w:rsidR="00734168">
        <w:rPr>
          <w:rFonts w:eastAsia="Times New Roman" w:cstheme="minorHAnsi"/>
        </w:rPr>
        <w:t>for Aboriginal and Torres Strait Islander women should be addressed.</w:t>
      </w:r>
    </w:p>
    <w:p w14:paraId="054B851B" w14:textId="49E2B3C8" w:rsidR="00A7679A" w:rsidRDefault="00A7679A" w:rsidP="00B267CF">
      <w:pPr>
        <w:pStyle w:val="WMHAbodytext"/>
      </w:pPr>
      <w:r>
        <w:t>In addition, we call for:</w:t>
      </w:r>
    </w:p>
    <w:p w14:paraId="1917CB09" w14:textId="751A056C" w:rsidR="00A7679A" w:rsidRDefault="007F1E8E" w:rsidP="00A7679A">
      <w:pPr>
        <w:pStyle w:val="WMHAbodytext"/>
        <w:numPr>
          <w:ilvl w:val="0"/>
          <w:numId w:val="2"/>
        </w:numPr>
      </w:pPr>
      <w:r>
        <w:t>A</w:t>
      </w:r>
      <w:r w:rsidR="0022540B">
        <w:t xml:space="preserve">n extension of surge funding for mental health </w:t>
      </w:r>
      <w:r w:rsidR="00843ACA">
        <w:t xml:space="preserve">and family violence response </w:t>
      </w:r>
      <w:r w:rsidR="0022540B">
        <w:t xml:space="preserve">services beyond June 2022 to address the anticipated </w:t>
      </w:r>
      <w:r w:rsidR="00843ACA">
        <w:t>‘</w:t>
      </w:r>
      <w:r w:rsidR="0022540B">
        <w:t>long tai</w:t>
      </w:r>
      <w:r w:rsidR="00843ACA">
        <w:t>l’ of COVID impacts</w:t>
      </w:r>
    </w:p>
    <w:p w14:paraId="42DC92B1" w14:textId="4248CEEE" w:rsidR="00940E96" w:rsidRPr="007716DC" w:rsidRDefault="007716DC" w:rsidP="007716DC">
      <w:pPr>
        <w:pStyle w:val="WMHAbodytext"/>
        <w:numPr>
          <w:ilvl w:val="0"/>
          <w:numId w:val="2"/>
        </w:numPr>
      </w:pPr>
      <w:r w:rsidRPr="007716DC">
        <w:t>Investment in research to understand the increase in psychological distress, self-harm and suicidality in young women and develop and implement relevant programs and supports</w:t>
      </w:r>
    </w:p>
    <w:p w14:paraId="13E471BA" w14:textId="2441F204" w:rsidR="00EC4DE0" w:rsidRDefault="000735B5" w:rsidP="00A7679A">
      <w:pPr>
        <w:pStyle w:val="WMHAbodytext"/>
        <w:numPr>
          <w:ilvl w:val="0"/>
          <w:numId w:val="2"/>
        </w:numPr>
      </w:pPr>
      <w:r>
        <w:lastRenderedPageBreak/>
        <w:t>Implementation of the recommendations for building an adequate supply of</w:t>
      </w:r>
      <w:r w:rsidRPr="000735B5">
        <w:t xml:space="preserve"> skilled mental health work</w:t>
      </w:r>
      <w:r>
        <w:t xml:space="preserve">ers who </w:t>
      </w:r>
      <w:r w:rsidRPr="000735B5">
        <w:t>are able to deliver trauma-informed, gender- and culturally responsive mental health support</w:t>
      </w:r>
      <w:r>
        <w:t>, at both state and national level, outlined</w:t>
      </w:r>
      <w:r w:rsidR="00EC4DE0">
        <w:t xml:space="preserve"> in the </w:t>
      </w:r>
      <w:hyperlink r:id="rId12" w:history="1">
        <w:r w:rsidR="00EC4DE0" w:rsidRPr="007F1E8E">
          <w:rPr>
            <w:rStyle w:val="Hyperlink"/>
          </w:rPr>
          <w:t>Alliance’s submission to the National Mental Health Workforce Strategy</w:t>
        </w:r>
      </w:hyperlink>
    </w:p>
    <w:p w14:paraId="4EF56FBE" w14:textId="7B999107" w:rsidR="00A7679A" w:rsidRDefault="007F1E8E" w:rsidP="00A7679A">
      <w:pPr>
        <w:pStyle w:val="WMHAbodytext"/>
        <w:numPr>
          <w:ilvl w:val="0"/>
          <w:numId w:val="2"/>
        </w:numPr>
      </w:pPr>
      <w:r>
        <w:t>D</w:t>
      </w:r>
      <w:r w:rsidR="0022540B">
        <w:t xml:space="preserve">edicated funding for specialised mental health services for Muslim women and communities, which take a whole-of-family approach reflecting their collective culture, delivered by organisations like AMWCHR which have the </w:t>
      </w:r>
      <w:r w:rsidR="00EC4DE0">
        <w:t xml:space="preserve">requisite </w:t>
      </w:r>
      <w:r w:rsidR="0022540B">
        <w:t xml:space="preserve">cultural </w:t>
      </w:r>
      <w:r w:rsidR="00EC4DE0">
        <w:t xml:space="preserve">knowledge </w:t>
      </w:r>
      <w:r w:rsidR="0022540B">
        <w:t>and trust of the community</w:t>
      </w:r>
    </w:p>
    <w:p w14:paraId="51890560" w14:textId="77777777" w:rsidR="006E4D24" w:rsidRDefault="006E4D24" w:rsidP="006E4D24">
      <w:pPr>
        <w:pStyle w:val="WMHAbodytext"/>
        <w:numPr>
          <w:ilvl w:val="0"/>
          <w:numId w:val="2"/>
        </w:numPr>
      </w:pPr>
      <w:r>
        <w:t>Ongoing investment in mental health services to offer comprehensive culturally and linguistically appropriate support and case management to migrant and refugee women</w:t>
      </w:r>
    </w:p>
    <w:p w14:paraId="6C6F8F7F" w14:textId="77777777" w:rsidR="006E4D24" w:rsidRDefault="006E4D24" w:rsidP="006E4D24">
      <w:pPr>
        <w:pStyle w:val="WMHAbodytext"/>
        <w:numPr>
          <w:ilvl w:val="0"/>
          <w:numId w:val="2"/>
        </w:numPr>
      </w:pPr>
      <w:r>
        <w:t>The removal of residency restrictions and making support services available to migrant and refugee people on all visa categories in Australia to avoid a multi-tiered system in which certain groups of residents and citizens have access to more support than others.</w:t>
      </w:r>
    </w:p>
    <w:p w14:paraId="4D788B6F" w14:textId="02EB17EC" w:rsidR="00A7679A" w:rsidRDefault="007F1E8E" w:rsidP="00A7679A">
      <w:pPr>
        <w:pStyle w:val="WMHAbodytext"/>
        <w:numPr>
          <w:ilvl w:val="0"/>
          <w:numId w:val="2"/>
        </w:numPr>
      </w:pPr>
      <w:r>
        <w:t>R</w:t>
      </w:r>
      <w:r w:rsidR="00A7679A">
        <w:t>esponses to the pandemic to be informed by the Social Model of Disability, which recognises that disability is socially constructed through t</w:t>
      </w:r>
      <w:r w:rsidR="00A7679A" w:rsidRPr="0086631B">
        <w:t>he design of the physical environment, ableist attitudes, inflexible communication and social norms</w:t>
      </w:r>
      <w:r w:rsidR="0022540B">
        <w:t>. Information and support during disasters must address the barriers to health and wellbeing for people with disabilities imposed by these structures.</w:t>
      </w:r>
    </w:p>
    <w:p w14:paraId="10017308" w14:textId="34119781" w:rsidR="001E1A2E" w:rsidRDefault="001E1A2E" w:rsidP="001E1A2E">
      <w:pPr>
        <w:pStyle w:val="WMHAbodytext"/>
        <w:numPr>
          <w:ilvl w:val="0"/>
          <w:numId w:val="2"/>
        </w:numPr>
      </w:pPr>
      <w:r>
        <w:t xml:space="preserve">Dedicated funding for multilingual and ethno-specific organisations such as MCWH to facilitate innovative, tailored education and mental health </w:t>
      </w:r>
      <w:r w:rsidR="00057DB5">
        <w:t xml:space="preserve">promotion </w:t>
      </w:r>
      <w:r>
        <w:t>intervention</w:t>
      </w:r>
      <w:r w:rsidR="006E4D24">
        <w:t>s, delivered by</w:t>
      </w:r>
      <w:r>
        <w:t xml:space="preserve"> trained bilingual health educators</w:t>
      </w:r>
      <w:r w:rsidR="006E4D24">
        <w:t xml:space="preserve"> (as in the WOMHEn project).</w:t>
      </w:r>
    </w:p>
    <w:p w14:paraId="28C413DE" w14:textId="58885C24" w:rsidR="00A7679A" w:rsidRDefault="00A7679A" w:rsidP="00A7679A">
      <w:pPr>
        <w:pStyle w:val="WMHAbodytext"/>
      </w:pPr>
      <w:r>
        <w:t>We also highlight the recommendations in</w:t>
      </w:r>
      <w:r w:rsidR="007F1E8E">
        <w:t xml:space="preserve"> publications from Gender Equity Victoria and Multicultural Centre for Women’s Health:</w:t>
      </w:r>
      <w:r>
        <w:t xml:space="preserve"> </w:t>
      </w:r>
      <w:hyperlink r:id="rId13" w:history="1">
        <w:r w:rsidRPr="00A7679A">
          <w:rPr>
            <w:rStyle w:val="Hyperlink"/>
          </w:rPr>
          <w:t>‘This Conversation is not over’</w:t>
        </w:r>
      </w:hyperlink>
      <w:r w:rsidR="006E4D24">
        <w:rPr>
          <w:rStyle w:val="Hyperlink"/>
        </w:rPr>
        <w:t>:</w:t>
      </w:r>
      <w:r w:rsidR="006E4D24" w:rsidRPr="006E4D24">
        <w:t xml:space="preserve"> </w:t>
      </w:r>
      <w:r w:rsidR="006E4D24" w:rsidRPr="006E4D24">
        <w:rPr>
          <w:rStyle w:val="Hyperlink"/>
        </w:rPr>
        <w:t>Women’s Mental Health During the COVID-19 Pandemic</w:t>
      </w:r>
      <w:r>
        <w:t xml:space="preserve"> and </w:t>
      </w:r>
      <w:hyperlink r:id="rId14" w:history="1">
        <w:r w:rsidRPr="00A7679A">
          <w:rPr>
            <w:rStyle w:val="Hyperlink"/>
          </w:rPr>
          <w:t>Left Behind</w:t>
        </w:r>
      </w:hyperlink>
      <w:r w:rsidR="006E4D24">
        <w:rPr>
          <w:rStyle w:val="Hyperlink"/>
        </w:rPr>
        <w:t>:</w:t>
      </w:r>
      <w:r w:rsidR="006E4D24" w:rsidRPr="006E4D24">
        <w:t xml:space="preserve"> </w:t>
      </w:r>
      <w:r w:rsidR="006E4D24" w:rsidRPr="006E4D24">
        <w:rPr>
          <w:rStyle w:val="Hyperlink"/>
        </w:rPr>
        <w:t>Migrant and Refugee Women’s Experiences of COVID-19</w:t>
      </w:r>
      <w:r w:rsidR="006E4D24">
        <w:rPr>
          <w:rStyle w:val="Hyperlink"/>
        </w:rPr>
        <w:t xml:space="preserve"> </w:t>
      </w:r>
      <w:r>
        <w:t>.</w:t>
      </w:r>
    </w:p>
    <w:p w14:paraId="4F49B251" w14:textId="77777777" w:rsidR="00131BF2" w:rsidRDefault="00131BF2"/>
    <w:sectPr w:rsidR="00131BF2" w:rsidSect="00144521">
      <w:headerReference w:type="default" r:id="rId15"/>
      <w:footerReference w:type="default" r:id="rId16"/>
      <w:headerReference w:type="first" r:id="rId17"/>
      <w:footerReference w:type="first" r:id="rId1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5F93" w14:textId="77777777" w:rsidR="002D284A" w:rsidRDefault="002D284A" w:rsidP="00016DE9">
      <w:pPr>
        <w:spacing w:after="0" w:line="240" w:lineRule="auto"/>
      </w:pPr>
      <w:r>
        <w:separator/>
      </w:r>
    </w:p>
  </w:endnote>
  <w:endnote w:type="continuationSeparator" w:id="0">
    <w:p w14:paraId="386EB0FF" w14:textId="77777777" w:rsidR="002D284A" w:rsidRDefault="002D284A" w:rsidP="0001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DA07" w14:textId="508B1D41" w:rsidR="00FF1EB4" w:rsidRDefault="00144521">
    <w:pPr>
      <w:pStyle w:val="Footer"/>
    </w:pPr>
    <w:r>
      <w:rPr>
        <w:noProof/>
      </w:rPr>
      <mc:AlternateContent>
        <mc:Choice Requires="wps">
          <w:drawing>
            <wp:anchor distT="45720" distB="45720" distL="114300" distR="114300" simplePos="0" relativeHeight="251662336" behindDoc="0" locked="0" layoutInCell="1" allowOverlap="1" wp14:anchorId="4AD42514" wp14:editId="7D548760">
              <wp:simplePos x="0" y="0"/>
              <wp:positionH relativeFrom="column">
                <wp:posOffset>-114300</wp:posOffset>
              </wp:positionH>
              <wp:positionV relativeFrom="paragraph">
                <wp:posOffset>81915</wp:posOffset>
              </wp:positionV>
              <wp:extent cx="473392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86F0383" w14:textId="53CDD48E" w:rsidR="00FF1EB4" w:rsidRPr="007C4C6B" w:rsidRDefault="00144521">
                          <w:pPr>
                            <w:rPr>
                              <w:color w:val="391160"/>
                            </w:rPr>
                          </w:pPr>
                          <w:r w:rsidRPr="00144521">
                            <w:rPr>
                              <w:rFonts w:ascii="Arial" w:hAnsi="Arial" w:cs="Arial"/>
                              <w:color w:val="391160"/>
                              <w:sz w:val="18"/>
                              <w:szCs w:val="18"/>
                            </w:rPr>
                            <w:fldChar w:fldCharType="begin"/>
                          </w:r>
                          <w:r w:rsidRPr="00144521">
                            <w:rPr>
                              <w:rFonts w:ascii="Arial" w:hAnsi="Arial" w:cs="Arial"/>
                              <w:color w:val="391160"/>
                              <w:sz w:val="18"/>
                              <w:szCs w:val="18"/>
                            </w:rPr>
                            <w:instrText xml:space="preserve"> PAGE   \* MERGEFORMAT </w:instrText>
                          </w:r>
                          <w:r w:rsidRPr="00144521">
                            <w:rPr>
                              <w:rFonts w:ascii="Arial" w:hAnsi="Arial" w:cs="Arial"/>
                              <w:color w:val="391160"/>
                              <w:sz w:val="18"/>
                              <w:szCs w:val="18"/>
                            </w:rPr>
                            <w:fldChar w:fldCharType="separate"/>
                          </w:r>
                          <w:r w:rsidRPr="00144521">
                            <w:rPr>
                              <w:rFonts w:ascii="Arial" w:hAnsi="Arial" w:cs="Arial"/>
                              <w:noProof/>
                              <w:color w:val="391160"/>
                              <w:sz w:val="18"/>
                              <w:szCs w:val="18"/>
                            </w:rPr>
                            <w:t>1</w:t>
                          </w:r>
                          <w:r w:rsidRPr="00144521">
                            <w:rPr>
                              <w:rFonts w:ascii="Arial" w:hAnsi="Arial" w:cs="Arial"/>
                              <w:noProof/>
                              <w:color w:val="391160"/>
                              <w:sz w:val="18"/>
                              <w:szCs w:val="18"/>
                            </w:rPr>
                            <w:fldChar w:fldCharType="end"/>
                          </w:r>
                          <w:r>
                            <w:rPr>
                              <w:rFonts w:ascii="Arial" w:hAnsi="Arial" w:cs="Arial"/>
                              <w:noProof/>
                              <w:color w:val="391160"/>
                              <w:sz w:val="18"/>
                              <w:szCs w:val="18"/>
                            </w:rPr>
                            <w:t xml:space="preserve"> | </w:t>
                          </w:r>
                          <w:r w:rsidR="00DC0946">
                            <w:rPr>
                              <w:rFonts w:ascii="Arial" w:hAnsi="Arial" w:cs="Arial"/>
                              <w:color w:val="391160"/>
                              <w:sz w:val="18"/>
                              <w:szCs w:val="18"/>
                            </w:rPr>
                            <w:t xml:space="preserve">COVID-19 impacts on women’s </w:t>
                          </w:r>
                          <w:r w:rsidR="00A7679A">
                            <w:rPr>
                              <w:rFonts w:ascii="Arial" w:hAnsi="Arial" w:cs="Arial"/>
                              <w:color w:val="391160"/>
                              <w:sz w:val="18"/>
                              <w:szCs w:val="18"/>
                            </w:rPr>
                            <w:t xml:space="preserve">mental </w:t>
                          </w:r>
                          <w:r w:rsidR="00DC0946">
                            <w:rPr>
                              <w:rFonts w:ascii="Arial" w:hAnsi="Arial" w:cs="Arial"/>
                              <w:color w:val="391160"/>
                              <w:sz w:val="18"/>
                              <w:szCs w:val="18"/>
                            </w:rPr>
                            <w:t>health – Alliance observations</w:t>
                          </w:r>
                          <w:r w:rsidR="00FF1EB4" w:rsidRPr="007C4C6B">
                            <w:rPr>
                              <w:rFonts w:ascii="Arial" w:hAnsi="Arial" w:cs="Arial"/>
                              <w:color w:val="391160"/>
                              <w:sz w:val="18"/>
                              <w:szCs w:val="18"/>
                            </w:rPr>
                            <w:t xml:space="preserve">, </w:t>
                          </w:r>
                          <w:r w:rsidR="00DC0946">
                            <w:rPr>
                              <w:rFonts w:ascii="Arial" w:hAnsi="Arial" w:cs="Arial"/>
                              <w:color w:val="391160"/>
                              <w:sz w:val="18"/>
                              <w:szCs w:val="18"/>
                            </w:rPr>
                            <w:t>October</w:t>
                          </w:r>
                          <w:r w:rsidR="00FF1EB4" w:rsidRPr="007C4C6B">
                            <w:rPr>
                              <w:rFonts w:ascii="Arial" w:hAnsi="Arial" w:cs="Arial"/>
                              <w:color w:val="391160"/>
                              <w:sz w:val="18"/>
                              <w:szCs w:val="18"/>
                            </w:rPr>
                            <w:t xml:space="preserve"> 20</w:t>
                          </w:r>
                          <w:r w:rsidR="00DC0946">
                            <w:rPr>
                              <w:rFonts w:ascii="Arial" w:hAnsi="Arial" w:cs="Arial"/>
                              <w:color w:val="391160"/>
                              <w:sz w:val="18"/>
                              <w:szCs w:val="18"/>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D42514" id="_x0000_t202" coordsize="21600,21600" o:spt="202" path="m,l,21600r21600,l21600,xe">
              <v:stroke joinstyle="miter"/>
              <v:path gradientshapeok="t" o:connecttype="rect"/>
            </v:shapetype>
            <v:shape id="Text Box 2" o:spid="_x0000_s1026" type="#_x0000_t202" style="position:absolute;margin-left:-9pt;margin-top:6.45pt;width:37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" filled="f" stroked="f">
              <v:textbox style="mso-fit-shape-to-text:t">
                <w:txbxContent>
                  <w:p w14:paraId="686F0383" w14:textId="53CDD48E" w:rsidR="00FF1EB4" w:rsidRPr="007C4C6B" w:rsidRDefault="00144521">
                    <w:pPr>
                      <w:rPr>
                        <w:color w:val="391160"/>
                      </w:rPr>
                    </w:pPr>
                    <w:r w:rsidRPr="00144521">
                      <w:rPr>
                        <w:rFonts w:ascii="Arial" w:hAnsi="Arial" w:cs="Arial"/>
                        <w:color w:val="391160"/>
                        <w:sz w:val="18"/>
                        <w:szCs w:val="18"/>
                      </w:rPr>
                      <w:fldChar w:fldCharType="begin"/>
                    </w:r>
                    <w:r w:rsidRPr="00144521">
                      <w:rPr>
                        <w:rFonts w:ascii="Arial" w:hAnsi="Arial" w:cs="Arial"/>
                        <w:color w:val="391160"/>
                        <w:sz w:val="18"/>
                        <w:szCs w:val="18"/>
                      </w:rPr>
                      <w:instrText xml:space="preserve"> PAGE   \* MERGEFORMAT </w:instrText>
                    </w:r>
                    <w:r w:rsidRPr="00144521">
                      <w:rPr>
                        <w:rFonts w:ascii="Arial" w:hAnsi="Arial" w:cs="Arial"/>
                        <w:color w:val="391160"/>
                        <w:sz w:val="18"/>
                        <w:szCs w:val="18"/>
                      </w:rPr>
                      <w:fldChar w:fldCharType="separate"/>
                    </w:r>
                    <w:r w:rsidRPr="00144521">
                      <w:rPr>
                        <w:rFonts w:ascii="Arial" w:hAnsi="Arial" w:cs="Arial"/>
                        <w:noProof/>
                        <w:color w:val="391160"/>
                        <w:sz w:val="18"/>
                        <w:szCs w:val="18"/>
                      </w:rPr>
                      <w:t>1</w:t>
                    </w:r>
                    <w:r w:rsidRPr="00144521">
                      <w:rPr>
                        <w:rFonts w:ascii="Arial" w:hAnsi="Arial" w:cs="Arial"/>
                        <w:noProof/>
                        <w:color w:val="391160"/>
                        <w:sz w:val="18"/>
                        <w:szCs w:val="18"/>
                      </w:rPr>
                      <w:fldChar w:fldCharType="end"/>
                    </w:r>
                    <w:r>
                      <w:rPr>
                        <w:rFonts w:ascii="Arial" w:hAnsi="Arial" w:cs="Arial"/>
                        <w:noProof/>
                        <w:color w:val="391160"/>
                        <w:sz w:val="18"/>
                        <w:szCs w:val="18"/>
                      </w:rPr>
                      <w:t xml:space="preserve"> | </w:t>
                    </w:r>
                    <w:r w:rsidR="00DC0946">
                      <w:rPr>
                        <w:rFonts w:ascii="Arial" w:hAnsi="Arial" w:cs="Arial"/>
                        <w:color w:val="391160"/>
                        <w:sz w:val="18"/>
                        <w:szCs w:val="18"/>
                      </w:rPr>
                      <w:t xml:space="preserve">COVID-19 impacts on women’s </w:t>
                    </w:r>
                    <w:r w:rsidR="00A7679A">
                      <w:rPr>
                        <w:rFonts w:ascii="Arial" w:hAnsi="Arial" w:cs="Arial"/>
                        <w:color w:val="391160"/>
                        <w:sz w:val="18"/>
                        <w:szCs w:val="18"/>
                      </w:rPr>
                      <w:t xml:space="preserve">mental </w:t>
                    </w:r>
                    <w:r w:rsidR="00DC0946">
                      <w:rPr>
                        <w:rFonts w:ascii="Arial" w:hAnsi="Arial" w:cs="Arial"/>
                        <w:color w:val="391160"/>
                        <w:sz w:val="18"/>
                        <w:szCs w:val="18"/>
                      </w:rPr>
                      <w:t>health – Alliance observations</w:t>
                    </w:r>
                    <w:r w:rsidR="00FF1EB4" w:rsidRPr="007C4C6B">
                      <w:rPr>
                        <w:rFonts w:ascii="Arial" w:hAnsi="Arial" w:cs="Arial"/>
                        <w:color w:val="391160"/>
                        <w:sz w:val="18"/>
                        <w:szCs w:val="18"/>
                      </w:rPr>
                      <w:t xml:space="preserve">, </w:t>
                    </w:r>
                    <w:r w:rsidR="00DC0946">
                      <w:rPr>
                        <w:rFonts w:ascii="Arial" w:hAnsi="Arial" w:cs="Arial"/>
                        <w:color w:val="391160"/>
                        <w:sz w:val="18"/>
                        <w:szCs w:val="18"/>
                      </w:rPr>
                      <w:t>October</w:t>
                    </w:r>
                    <w:r w:rsidR="00FF1EB4" w:rsidRPr="007C4C6B">
                      <w:rPr>
                        <w:rFonts w:ascii="Arial" w:hAnsi="Arial" w:cs="Arial"/>
                        <w:color w:val="391160"/>
                        <w:sz w:val="18"/>
                        <w:szCs w:val="18"/>
                      </w:rPr>
                      <w:t xml:space="preserve"> 20</w:t>
                    </w:r>
                    <w:r w:rsidR="00DC0946">
                      <w:rPr>
                        <w:rFonts w:ascii="Arial" w:hAnsi="Arial" w:cs="Arial"/>
                        <w:color w:val="391160"/>
                        <w:sz w:val="18"/>
                        <w:szCs w:val="18"/>
                      </w:rPr>
                      <w:t>21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0319" w14:textId="20260E4D" w:rsidR="00144521" w:rsidRDefault="00144521">
    <w:pPr>
      <w:pStyle w:val="Footer"/>
    </w:pPr>
    <w:r>
      <w:rPr>
        <w:noProof/>
      </w:rPr>
      <mc:AlternateContent>
        <mc:Choice Requires="wps">
          <w:drawing>
            <wp:anchor distT="45720" distB="45720" distL="114300" distR="114300" simplePos="0" relativeHeight="251669504" behindDoc="0" locked="0" layoutInCell="1" allowOverlap="1" wp14:anchorId="479E21D9" wp14:editId="3AA75FE0">
              <wp:simplePos x="0" y="0"/>
              <wp:positionH relativeFrom="column">
                <wp:posOffset>-388392</wp:posOffset>
              </wp:positionH>
              <wp:positionV relativeFrom="paragraph">
                <wp:posOffset>-13707</wp:posOffset>
              </wp:positionV>
              <wp:extent cx="301053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404620"/>
                      </a:xfrm>
                      <a:prstGeom prst="rect">
                        <a:avLst/>
                      </a:prstGeom>
                      <a:noFill/>
                      <a:ln w="9525">
                        <a:noFill/>
                        <a:miter lim="800000"/>
                        <a:headEnd/>
                        <a:tailEnd/>
                      </a:ln>
                    </wps:spPr>
                    <wps:txbx>
                      <w:txbxContent>
                        <w:p w14:paraId="224C88F6" w14:textId="19E7A0DC" w:rsidR="00144521" w:rsidRPr="007C4C6B" w:rsidRDefault="00144521" w:rsidP="00144521">
                          <w:pPr>
                            <w:rPr>
                              <w:color w:val="391160"/>
                            </w:rPr>
                          </w:pPr>
                          <w:r w:rsidRPr="00144521">
                            <w:rPr>
                              <w:rFonts w:ascii="Arial" w:hAnsi="Arial" w:cs="Arial"/>
                              <w:color w:val="391160"/>
                              <w:sz w:val="18"/>
                              <w:szCs w:val="18"/>
                            </w:rPr>
                            <w:fldChar w:fldCharType="begin"/>
                          </w:r>
                          <w:r w:rsidRPr="00144521">
                            <w:rPr>
                              <w:rFonts w:ascii="Arial" w:hAnsi="Arial" w:cs="Arial"/>
                              <w:color w:val="391160"/>
                              <w:sz w:val="18"/>
                              <w:szCs w:val="18"/>
                            </w:rPr>
                            <w:instrText xml:space="preserve"> PAGE   \* MERGEFORMAT </w:instrText>
                          </w:r>
                          <w:r w:rsidRPr="00144521">
                            <w:rPr>
                              <w:rFonts w:ascii="Arial" w:hAnsi="Arial" w:cs="Arial"/>
                              <w:color w:val="391160"/>
                              <w:sz w:val="18"/>
                              <w:szCs w:val="18"/>
                            </w:rPr>
                            <w:fldChar w:fldCharType="separate"/>
                          </w:r>
                          <w:r w:rsidRPr="00144521">
                            <w:rPr>
                              <w:rFonts w:ascii="Arial" w:hAnsi="Arial" w:cs="Arial"/>
                              <w:noProof/>
                              <w:color w:val="391160"/>
                              <w:sz w:val="18"/>
                              <w:szCs w:val="18"/>
                            </w:rPr>
                            <w:t>1</w:t>
                          </w:r>
                          <w:r w:rsidRPr="00144521">
                            <w:rPr>
                              <w:rFonts w:ascii="Arial" w:hAnsi="Arial" w:cs="Arial"/>
                              <w:noProof/>
                              <w:color w:val="391160"/>
                              <w:sz w:val="18"/>
                              <w:szCs w:val="18"/>
                            </w:rPr>
                            <w:fldChar w:fldCharType="end"/>
                          </w:r>
                          <w:r>
                            <w:rPr>
                              <w:rFonts w:ascii="Arial" w:hAnsi="Arial" w:cs="Arial"/>
                              <w:noProof/>
                              <w:color w:val="391160"/>
                              <w:sz w:val="18"/>
                              <w:szCs w:val="18"/>
                            </w:rPr>
                            <w:t xml:space="preserve"> | </w:t>
                          </w:r>
                          <w:r w:rsidRPr="007C4C6B">
                            <w:rPr>
                              <w:rFonts w:ascii="Arial" w:hAnsi="Arial" w:cs="Arial"/>
                              <w:color w:val="391160"/>
                              <w:sz w:val="18"/>
                              <w:szCs w:val="18"/>
                            </w:rPr>
                            <w:t>Document title, Month 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E21D9" id="_x0000_t202" coordsize="21600,21600" o:spt="202" path="m,l,21600r21600,l21600,xe">
              <v:stroke joinstyle="miter"/>
              <v:path gradientshapeok="t" o:connecttype="rect"/>
            </v:shapetype>
            <v:shape id="_x0000_s1027" type="#_x0000_t202" style="position:absolute;margin-left:-30.6pt;margin-top:-1.1pt;width:237.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" filled="f" stroked="f">
              <v:textbox style="mso-fit-shape-to-text:t">
                <w:txbxContent>
                  <w:p w14:paraId="224C88F6" w14:textId="19E7A0DC" w:rsidR="00144521" w:rsidRPr="007C4C6B" w:rsidRDefault="00144521" w:rsidP="00144521">
                    <w:pPr>
                      <w:rPr>
                        <w:color w:val="391160"/>
                      </w:rPr>
                    </w:pPr>
                    <w:r w:rsidRPr="00144521">
                      <w:rPr>
                        <w:rFonts w:ascii="Arial" w:hAnsi="Arial" w:cs="Arial"/>
                        <w:color w:val="391160"/>
                        <w:sz w:val="18"/>
                        <w:szCs w:val="18"/>
                      </w:rPr>
                      <w:fldChar w:fldCharType="begin"/>
                    </w:r>
                    <w:r w:rsidRPr="00144521">
                      <w:rPr>
                        <w:rFonts w:ascii="Arial" w:hAnsi="Arial" w:cs="Arial"/>
                        <w:color w:val="391160"/>
                        <w:sz w:val="18"/>
                        <w:szCs w:val="18"/>
                      </w:rPr>
                      <w:instrText xml:space="preserve"> PAGE   \* MERGEFORMAT </w:instrText>
                    </w:r>
                    <w:r w:rsidRPr="00144521">
                      <w:rPr>
                        <w:rFonts w:ascii="Arial" w:hAnsi="Arial" w:cs="Arial"/>
                        <w:color w:val="391160"/>
                        <w:sz w:val="18"/>
                        <w:szCs w:val="18"/>
                      </w:rPr>
                      <w:fldChar w:fldCharType="separate"/>
                    </w:r>
                    <w:r w:rsidRPr="00144521">
                      <w:rPr>
                        <w:rFonts w:ascii="Arial" w:hAnsi="Arial" w:cs="Arial"/>
                        <w:noProof/>
                        <w:color w:val="391160"/>
                        <w:sz w:val="18"/>
                        <w:szCs w:val="18"/>
                      </w:rPr>
                      <w:t>1</w:t>
                    </w:r>
                    <w:r w:rsidRPr="00144521">
                      <w:rPr>
                        <w:rFonts w:ascii="Arial" w:hAnsi="Arial" w:cs="Arial"/>
                        <w:noProof/>
                        <w:color w:val="391160"/>
                        <w:sz w:val="18"/>
                        <w:szCs w:val="18"/>
                      </w:rPr>
                      <w:fldChar w:fldCharType="end"/>
                    </w:r>
                    <w:r>
                      <w:rPr>
                        <w:rFonts w:ascii="Arial" w:hAnsi="Arial" w:cs="Arial"/>
                        <w:noProof/>
                        <w:color w:val="391160"/>
                        <w:sz w:val="18"/>
                        <w:szCs w:val="18"/>
                      </w:rPr>
                      <w:t xml:space="preserve"> | </w:t>
                    </w:r>
                    <w:r w:rsidRPr="007C4C6B">
                      <w:rPr>
                        <w:rFonts w:ascii="Arial" w:hAnsi="Arial" w:cs="Arial"/>
                        <w:color w:val="391160"/>
                        <w:sz w:val="18"/>
                        <w:szCs w:val="18"/>
                      </w:rPr>
                      <w:t>Document title, Month 20XX</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29E1" w14:textId="77777777" w:rsidR="002D284A" w:rsidRDefault="002D284A" w:rsidP="00016DE9">
      <w:pPr>
        <w:spacing w:after="0" w:line="240" w:lineRule="auto"/>
      </w:pPr>
      <w:r>
        <w:separator/>
      </w:r>
    </w:p>
  </w:footnote>
  <w:footnote w:type="continuationSeparator" w:id="0">
    <w:p w14:paraId="01A72711" w14:textId="77777777" w:rsidR="002D284A" w:rsidRDefault="002D284A" w:rsidP="00016DE9">
      <w:pPr>
        <w:spacing w:after="0" w:line="240" w:lineRule="auto"/>
      </w:pPr>
      <w:r>
        <w:continuationSeparator/>
      </w:r>
    </w:p>
  </w:footnote>
  <w:footnote w:id="1">
    <w:p w14:paraId="4C36760E" w14:textId="57827A94" w:rsidR="00553615" w:rsidRDefault="00553615" w:rsidP="00553615">
      <w:pPr>
        <w:pStyle w:val="FootnoteText"/>
      </w:pPr>
      <w:r>
        <w:rPr>
          <w:rStyle w:val="FootnoteReference"/>
        </w:rPr>
        <w:footnoteRef/>
      </w:r>
      <w:r>
        <w:t xml:space="preserve"> </w:t>
      </w:r>
      <w:r w:rsidR="00B65910">
        <w:t xml:space="preserve">Australian Institute of Health &amp; Welfare (2021) </w:t>
      </w:r>
      <w:hyperlink r:id="rId1" w:history="1">
        <w:r w:rsidR="00B65910" w:rsidRPr="00BF45B8">
          <w:rPr>
            <w:rStyle w:val="Hyperlink"/>
          </w:rPr>
          <w:t>Ambulance attendances: suicidal and self-harm behaviours</w:t>
        </w:r>
      </w:hyperlink>
      <w:r w:rsidR="00B65910">
        <w:t xml:space="preserve">, </w:t>
      </w:r>
      <w:r w:rsidR="00B65910" w:rsidRPr="00B65910">
        <w:t>Suicide &amp; self-harm monitoring</w:t>
      </w:r>
      <w:r w:rsidR="00B65910">
        <w:t xml:space="preserve"> </w:t>
      </w:r>
      <w:r w:rsidR="00BF45B8">
        <w:t xml:space="preserve">data </w:t>
      </w:r>
      <w:r w:rsidR="00B65910">
        <w:t>[website].</w:t>
      </w:r>
    </w:p>
  </w:footnote>
  <w:footnote w:id="2">
    <w:p w14:paraId="3DEC3FF3" w14:textId="77777777" w:rsidR="00553615" w:rsidRDefault="00553615" w:rsidP="00553615">
      <w:pPr>
        <w:pStyle w:val="FootnoteText"/>
      </w:pPr>
      <w:r>
        <w:rPr>
          <w:rStyle w:val="FootnoteReference"/>
        </w:rPr>
        <w:footnoteRef/>
      </w:r>
      <w:r>
        <w:t xml:space="preserve"> </w:t>
      </w:r>
      <w:hyperlink r:id="rId2" w:history="1">
        <w:r w:rsidRPr="005C6227">
          <w:rPr>
            <w:rStyle w:val="Hyperlink"/>
          </w:rPr>
          <w:t>Psychological Distress in Young People in Australia 2012-2020</w:t>
        </w:r>
      </w:hyperlink>
      <w:r>
        <w:t>, Mission Australia and Black Dog Institute, 2021</w:t>
      </w:r>
    </w:p>
  </w:footnote>
  <w:footnote w:id="3">
    <w:p w14:paraId="194817B6" w14:textId="77777777" w:rsidR="00940E96" w:rsidRDefault="00940E96" w:rsidP="00940E96">
      <w:pPr>
        <w:pStyle w:val="FootnoteText"/>
      </w:pPr>
      <w:r>
        <w:rPr>
          <w:rStyle w:val="FootnoteReference"/>
        </w:rPr>
        <w:footnoteRef/>
      </w:r>
      <w:r>
        <w:t xml:space="preserve"> </w:t>
      </w:r>
      <w:hyperlink r:id="rId3" w:history="1">
        <w:r w:rsidRPr="007B0894">
          <w:rPr>
            <w:rStyle w:val="Hyperlink"/>
          </w:rPr>
          <w:t>As COVID lockdowns roll on, eating disorders are surging and wait times are blowing out</w:t>
        </w:r>
      </w:hyperlink>
      <w:r>
        <w:t xml:space="preserve"> ABC Online 31/08/21</w:t>
      </w:r>
    </w:p>
  </w:footnote>
  <w:footnote w:id="4">
    <w:p w14:paraId="44CA5126" w14:textId="6333DE46" w:rsidR="00E42465" w:rsidRPr="008F3FCC" w:rsidRDefault="00E42465">
      <w:pPr>
        <w:pStyle w:val="FootnoteText"/>
      </w:pPr>
      <w:r w:rsidRPr="008F3FCC">
        <w:rPr>
          <w:rStyle w:val="FootnoteReference"/>
        </w:rPr>
        <w:footnoteRef/>
      </w:r>
      <w:r w:rsidRPr="008F3FCC">
        <w:t xml:space="preserve"> </w:t>
      </w:r>
      <w:r w:rsidR="003E6C1A" w:rsidRPr="008F3FCC">
        <w:rPr>
          <w:rStyle w:val="A2"/>
          <w:color w:val="auto"/>
          <w:sz w:val="20"/>
          <w:szCs w:val="20"/>
        </w:rPr>
        <w:t xml:space="preserve">Boxall, H., &amp; Morgan, A. (2021). </w:t>
      </w:r>
      <w:hyperlink r:id="rId4" w:history="1">
        <w:r w:rsidR="003E6C1A" w:rsidRPr="008F3FCC">
          <w:rPr>
            <w:rStyle w:val="Hyperlink"/>
            <w:rFonts w:cs="Avenir Next"/>
          </w:rPr>
          <w:t>Intimate partner violence during the COVID-19 pandemic: A survey of women in Australia</w:t>
        </w:r>
      </w:hyperlink>
      <w:r w:rsidR="003E6C1A" w:rsidRPr="008F3FCC">
        <w:rPr>
          <w:rStyle w:val="A2"/>
          <w:i/>
          <w:iCs/>
          <w:color w:val="auto"/>
          <w:sz w:val="20"/>
          <w:szCs w:val="20"/>
        </w:rPr>
        <w:t xml:space="preserve"> </w:t>
      </w:r>
      <w:r w:rsidR="003E6C1A" w:rsidRPr="008F3FCC">
        <w:rPr>
          <w:rStyle w:val="A2"/>
          <w:color w:val="auto"/>
          <w:sz w:val="20"/>
          <w:szCs w:val="20"/>
        </w:rPr>
        <w:t>(Research report Issue 3, October 2021). ANROWS</w:t>
      </w:r>
    </w:p>
  </w:footnote>
  <w:footnote w:id="5">
    <w:p w14:paraId="193E38E9" w14:textId="58284E0E" w:rsidR="00A77C3F" w:rsidRDefault="00A77C3F">
      <w:pPr>
        <w:pStyle w:val="FootnoteText"/>
      </w:pPr>
      <w:r>
        <w:rPr>
          <w:rStyle w:val="FootnoteReference"/>
        </w:rPr>
        <w:footnoteRef/>
      </w:r>
      <w:r>
        <w:t xml:space="preserve"> Gender Equity Victoria and the Multicultural Centre for Women’s Health (2021). </w:t>
      </w:r>
      <w:hyperlink r:id="rId5" w:history="1">
        <w:r w:rsidRPr="00A77C3F">
          <w:rPr>
            <w:rStyle w:val="Hyperlink"/>
          </w:rPr>
          <w:t>Left Behind: Migrant and refugee women’s experiences of COVID-19</w:t>
        </w:r>
      </w:hyperlink>
      <w:r>
        <w:t>; Information about the WOMHEn project can be found here:</w:t>
      </w:r>
      <w:r w:rsidRPr="00A77C3F">
        <w:t xml:space="preserve"> </w:t>
      </w:r>
      <w:hyperlink r:id="rId6" w:history="1">
        <w:r w:rsidRPr="00A77C3F">
          <w:rPr>
            <w:rStyle w:val="Hyperlink"/>
          </w:rPr>
          <w:t>WOMHEn: Workforce of Multilingual Health Educators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FAAC" w14:textId="28AF1100" w:rsidR="00144521" w:rsidRDefault="00B153DC">
    <w:pPr>
      <w:pStyle w:val="Header"/>
    </w:pPr>
    <w:r>
      <w:rPr>
        <w:noProof/>
      </w:rPr>
      <w:drawing>
        <wp:anchor distT="0" distB="0" distL="114300" distR="114300" simplePos="0" relativeHeight="251670528" behindDoc="1" locked="0" layoutInCell="1" allowOverlap="1" wp14:anchorId="5F2BFEBF" wp14:editId="77EEE424">
          <wp:simplePos x="0" y="0"/>
          <wp:positionH relativeFrom="page">
            <wp:align>right</wp:align>
          </wp:positionH>
          <wp:positionV relativeFrom="paragraph">
            <wp:posOffset>-449580</wp:posOffset>
          </wp:positionV>
          <wp:extent cx="7548785" cy="10677525"/>
          <wp:effectExtent l="0" t="0" r="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9205" w14:textId="7B1EDC98" w:rsidR="00B4194C" w:rsidRDefault="00B4194C">
    <w:pPr>
      <w:pStyle w:val="Header"/>
    </w:pPr>
    <w:r>
      <w:rPr>
        <w:noProof/>
      </w:rPr>
      <w:drawing>
        <wp:anchor distT="0" distB="0" distL="114300" distR="114300" simplePos="0" relativeHeight="251667456" behindDoc="1" locked="0" layoutInCell="1" allowOverlap="1" wp14:anchorId="6A01A2EF" wp14:editId="5C53F812">
          <wp:simplePos x="0" y="0"/>
          <wp:positionH relativeFrom="page">
            <wp:align>right</wp:align>
          </wp:positionH>
          <wp:positionV relativeFrom="paragraph">
            <wp:posOffset>-449844</wp:posOffset>
          </wp:positionV>
          <wp:extent cx="7556740" cy="10688777"/>
          <wp:effectExtent l="0" t="0" r="6350" b="0"/>
          <wp:wrapNone/>
          <wp:docPr id="9" name="Picture 9"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740" cy="10688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85E"/>
    <w:multiLevelType w:val="multilevel"/>
    <w:tmpl w:val="9BB640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8912E3"/>
    <w:multiLevelType w:val="multilevel"/>
    <w:tmpl w:val="9BB640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D442CB"/>
    <w:multiLevelType w:val="hybridMultilevel"/>
    <w:tmpl w:val="61661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287C6B"/>
    <w:multiLevelType w:val="hybridMultilevel"/>
    <w:tmpl w:val="CDC0F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150F37"/>
    <w:multiLevelType w:val="multilevel"/>
    <w:tmpl w:val="9BB640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D592B90"/>
    <w:multiLevelType w:val="hybridMultilevel"/>
    <w:tmpl w:val="D870D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E9"/>
    <w:rsid w:val="00002538"/>
    <w:rsid w:val="00016DE9"/>
    <w:rsid w:val="000322D7"/>
    <w:rsid w:val="00057DB5"/>
    <w:rsid w:val="000735B5"/>
    <w:rsid w:val="0009488E"/>
    <w:rsid w:val="000D3F1C"/>
    <w:rsid w:val="00131BF2"/>
    <w:rsid w:val="00144521"/>
    <w:rsid w:val="001520D1"/>
    <w:rsid w:val="00170C2C"/>
    <w:rsid w:val="001E1A2E"/>
    <w:rsid w:val="0020316C"/>
    <w:rsid w:val="00205270"/>
    <w:rsid w:val="0022540B"/>
    <w:rsid w:val="00251240"/>
    <w:rsid w:val="002B72FA"/>
    <w:rsid w:val="002D284A"/>
    <w:rsid w:val="00312C53"/>
    <w:rsid w:val="00316322"/>
    <w:rsid w:val="003515DC"/>
    <w:rsid w:val="00360A1D"/>
    <w:rsid w:val="00384EFD"/>
    <w:rsid w:val="003A4BDF"/>
    <w:rsid w:val="003C0CC7"/>
    <w:rsid w:val="003C63D2"/>
    <w:rsid w:val="003D6765"/>
    <w:rsid w:val="003E6C1A"/>
    <w:rsid w:val="003F0623"/>
    <w:rsid w:val="00411C86"/>
    <w:rsid w:val="0045106B"/>
    <w:rsid w:val="004568D5"/>
    <w:rsid w:val="00467DD6"/>
    <w:rsid w:val="004718E6"/>
    <w:rsid w:val="004A35CE"/>
    <w:rsid w:val="00536542"/>
    <w:rsid w:val="00553615"/>
    <w:rsid w:val="00592A6D"/>
    <w:rsid w:val="005A58E3"/>
    <w:rsid w:val="005A6B10"/>
    <w:rsid w:val="005C3A71"/>
    <w:rsid w:val="005C6227"/>
    <w:rsid w:val="005F0243"/>
    <w:rsid w:val="00615BE9"/>
    <w:rsid w:val="006274E5"/>
    <w:rsid w:val="00632AF5"/>
    <w:rsid w:val="00696CD8"/>
    <w:rsid w:val="006D4419"/>
    <w:rsid w:val="006E4D24"/>
    <w:rsid w:val="00700244"/>
    <w:rsid w:val="00734168"/>
    <w:rsid w:val="007716DC"/>
    <w:rsid w:val="007A136A"/>
    <w:rsid w:val="007A18F9"/>
    <w:rsid w:val="007A4F91"/>
    <w:rsid w:val="007B0894"/>
    <w:rsid w:val="007C3406"/>
    <w:rsid w:val="007C4C6B"/>
    <w:rsid w:val="007F1E8E"/>
    <w:rsid w:val="00816C8A"/>
    <w:rsid w:val="00842A88"/>
    <w:rsid w:val="00843ACA"/>
    <w:rsid w:val="0086631B"/>
    <w:rsid w:val="008710F2"/>
    <w:rsid w:val="008C1FA4"/>
    <w:rsid w:val="008D5916"/>
    <w:rsid w:val="008F3FCC"/>
    <w:rsid w:val="008F5F43"/>
    <w:rsid w:val="00940E96"/>
    <w:rsid w:val="00951EAE"/>
    <w:rsid w:val="009633C4"/>
    <w:rsid w:val="009B611A"/>
    <w:rsid w:val="009C0EDC"/>
    <w:rsid w:val="009D12B1"/>
    <w:rsid w:val="00A02D34"/>
    <w:rsid w:val="00A7679A"/>
    <w:rsid w:val="00A77C3F"/>
    <w:rsid w:val="00A8784E"/>
    <w:rsid w:val="00B153DC"/>
    <w:rsid w:val="00B267CF"/>
    <w:rsid w:val="00B4194C"/>
    <w:rsid w:val="00B65910"/>
    <w:rsid w:val="00B801E0"/>
    <w:rsid w:val="00B92DE0"/>
    <w:rsid w:val="00BA0B90"/>
    <w:rsid w:val="00BC7325"/>
    <w:rsid w:val="00BF45B8"/>
    <w:rsid w:val="00C74CBA"/>
    <w:rsid w:val="00C74D39"/>
    <w:rsid w:val="00C86A4D"/>
    <w:rsid w:val="00CD5626"/>
    <w:rsid w:val="00D14155"/>
    <w:rsid w:val="00D421F5"/>
    <w:rsid w:val="00D549D0"/>
    <w:rsid w:val="00D7321A"/>
    <w:rsid w:val="00D763E0"/>
    <w:rsid w:val="00D8138C"/>
    <w:rsid w:val="00DC0946"/>
    <w:rsid w:val="00E01279"/>
    <w:rsid w:val="00E406DC"/>
    <w:rsid w:val="00E42465"/>
    <w:rsid w:val="00E47E9D"/>
    <w:rsid w:val="00E556B7"/>
    <w:rsid w:val="00EC1283"/>
    <w:rsid w:val="00EC4896"/>
    <w:rsid w:val="00EC4DE0"/>
    <w:rsid w:val="00EF03E0"/>
    <w:rsid w:val="00F60543"/>
    <w:rsid w:val="00FA7AB3"/>
    <w:rsid w:val="00FF1C2D"/>
    <w:rsid w:val="00FF1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1C869C"/>
  <w15:chartTrackingRefBased/>
  <w15:docId w15:val="{5262C5CE-6985-4AA2-8451-C83DCD5B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VBodytext">
    <w:name w:val="WHV Body text"/>
    <w:basedOn w:val="Normal"/>
    <w:link w:val="WHVBodytextChar"/>
    <w:autoRedefine/>
    <w:qFormat/>
    <w:rsid w:val="009D12B1"/>
    <w:pPr>
      <w:spacing w:line="276" w:lineRule="auto"/>
    </w:pPr>
    <w:rPr>
      <w:rFonts w:ascii="Arial" w:eastAsiaTheme="majorEastAsia" w:hAnsi="Arial" w:cstheme="majorBidi"/>
      <w:color w:val="000000" w:themeColor="text1"/>
      <w:spacing w:val="-10"/>
      <w:kern w:val="28"/>
      <w:sz w:val="40"/>
      <w:szCs w:val="200"/>
    </w:rPr>
  </w:style>
  <w:style w:type="character" w:customStyle="1" w:styleId="WHVBodytextChar">
    <w:name w:val="WHV Body text Char"/>
    <w:basedOn w:val="DefaultParagraphFont"/>
    <w:link w:val="WHVBodytext"/>
    <w:rsid w:val="009D12B1"/>
    <w:rPr>
      <w:rFonts w:ascii="Arial" w:eastAsiaTheme="majorEastAsia" w:hAnsi="Arial" w:cstheme="majorBidi"/>
      <w:color w:val="000000" w:themeColor="text1"/>
      <w:spacing w:val="-10"/>
      <w:kern w:val="28"/>
      <w:sz w:val="40"/>
      <w:szCs w:val="200"/>
    </w:rPr>
  </w:style>
  <w:style w:type="paragraph" w:styleId="Header">
    <w:name w:val="header"/>
    <w:basedOn w:val="Normal"/>
    <w:link w:val="HeaderChar"/>
    <w:uiPriority w:val="99"/>
    <w:unhideWhenUsed/>
    <w:rsid w:val="0001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DE9"/>
  </w:style>
  <w:style w:type="paragraph" w:styleId="Footer">
    <w:name w:val="footer"/>
    <w:basedOn w:val="Normal"/>
    <w:link w:val="FooterChar"/>
    <w:uiPriority w:val="99"/>
    <w:unhideWhenUsed/>
    <w:rsid w:val="0001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DE9"/>
  </w:style>
  <w:style w:type="paragraph" w:customStyle="1" w:styleId="WHVSubheading">
    <w:name w:val="WHV Sub heading"/>
    <w:basedOn w:val="Normal"/>
    <w:link w:val="WHVSubheadingChar"/>
    <w:autoRedefine/>
    <w:qFormat/>
    <w:rsid w:val="0086631B"/>
    <w:pPr>
      <w:spacing w:before="120" w:after="120" w:line="240" w:lineRule="auto"/>
      <w:contextualSpacing/>
    </w:pPr>
    <w:rPr>
      <w:rFonts w:ascii="Arial" w:eastAsiaTheme="majorEastAsia" w:hAnsi="Arial" w:cstheme="majorBidi"/>
      <w:b/>
      <w:color w:val="E57200"/>
      <w:spacing w:val="-10"/>
      <w:kern w:val="28"/>
      <w:sz w:val="24"/>
      <w:szCs w:val="48"/>
    </w:rPr>
  </w:style>
  <w:style w:type="character" w:customStyle="1" w:styleId="WHVSubheadingChar">
    <w:name w:val="WHV Sub heading Char"/>
    <w:basedOn w:val="DefaultParagraphFont"/>
    <w:link w:val="WHVSubheading"/>
    <w:rsid w:val="0086631B"/>
    <w:rPr>
      <w:rFonts w:ascii="Arial" w:eastAsiaTheme="majorEastAsia" w:hAnsi="Arial" w:cstheme="majorBidi"/>
      <w:b/>
      <w:color w:val="E57200"/>
      <w:spacing w:val="-10"/>
      <w:kern w:val="28"/>
      <w:sz w:val="24"/>
      <w:szCs w:val="48"/>
    </w:rPr>
  </w:style>
  <w:style w:type="paragraph" w:customStyle="1" w:styleId="WMHAheading">
    <w:name w:val="WMHA heading"/>
    <w:basedOn w:val="Normal"/>
    <w:link w:val="WMHAheadingChar"/>
    <w:autoRedefine/>
    <w:qFormat/>
    <w:rsid w:val="0086631B"/>
    <w:pPr>
      <w:jc w:val="center"/>
    </w:pPr>
    <w:rPr>
      <w:rFonts w:ascii="Arial" w:hAnsi="Arial"/>
      <w:b/>
      <w:color w:val="391160"/>
      <w:sz w:val="40"/>
      <w:szCs w:val="18"/>
    </w:rPr>
  </w:style>
  <w:style w:type="character" w:customStyle="1" w:styleId="WMHAheadingChar">
    <w:name w:val="WMHA heading Char"/>
    <w:basedOn w:val="DefaultParagraphFont"/>
    <w:link w:val="WMHAheading"/>
    <w:rsid w:val="0086631B"/>
    <w:rPr>
      <w:rFonts w:ascii="Arial" w:hAnsi="Arial"/>
      <w:b/>
      <w:color w:val="391160"/>
      <w:sz w:val="40"/>
      <w:szCs w:val="18"/>
    </w:rPr>
  </w:style>
  <w:style w:type="paragraph" w:customStyle="1" w:styleId="WMHAbodytext">
    <w:name w:val="WMHA body text"/>
    <w:basedOn w:val="Normal"/>
    <w:link w:val="WMHAbodytextChar"/>
    <w:autoRedefine/>
    <w:qFormat/>
    <w:rsid w:val="0086631B"/>
    <w:pPr>
      <w:spacing w:line="312" w:lineRule="auto"/>
    </w:pPr>
    <w:rPr>
      <w:rFonts w:ascii="Arial" w:hAnsi="Arial"/>
    </w:rPr>
  </w:style>
  <w:style w:type="paragraph" w:customStyle="1" w:styleId="WMHAsubheading">
    <w:name w:val="WMHA subheading"/>
    <w:basedOn w:val="WHVSubheading"/>
    <w:link w:val="WMHAsubheadingChar"/>
    <w:autoRedefine/>
    <w:qFormat/>
    <w:rsid w:val="00D421F5"/>
  </w:style>
  <w:style w:type="character" w:customStyle="1" w:styleId="WMHAbodytextChar">
    <w:name w:val="WMHA body text Char"/>
    <w:basedOn w:val="DefaultParagraphFont"/>
    <w:link w:val="WMHAbodytext"/>
    <w:rsid w:val="0086631B"/>
    <w:rPr>
      <w:rFonts w:ascii="Arial" w:hAnsi="Arial"/>
    </w:rPr>
  </w:style>
  <w:style w:type="character" w:customStyle="1" w:styleId="WMHAsubheadingChar">
    <w:name w:val="WMHA subheading Char"/>
    <w:basedOn w:val="WHVSubheadingChar"/>
    <w:link w:val="WMHAsubheading"/>
    <w:rsid w:val="00D421F5"/>
    <w:rPr>
      <w:rFonts w:ascii="Arial" w:eastAsiaTheme="majorEastAsia" w:hAnsi="Arial" w:cstheme="majorBidi"/>
      <w:b/>
      <w:color w:val="E57200"/>
      <w:spacing w:val="-10"/>
      <w:kern w:val="28"/>
      <w:sz w:val="32"/>
      <w:szCs w:val="56"/>
    </w:rPr>
  </w:style>
  <w:style w:type="paragraph" w:customStyle="1" w:styleId="WMHASubsubheading">
    <w:name w:val="WMHA Sub sub heading"/>
    <w:basedOn w:val="Normal"/>
    <w:link w:val="WMHASubsubheadingChar"/>
    <w:autoRedefine/>
    <w:qFormat/>
    <w:rsid w:val="00FF1EB4"/>
    <w:pPr>
      <w:spacing w:after="0" w:line="240" w:lineRule="auto"/>
      <w:contextualSpacing/>
    </w:pPr>
    <w:rPr>
      <w:rFonts w:ascii="Arial" w:eastAsiaTheme="majorEastAsia" w:hAnsi="Arial" w:cstheme="majorBidi"/>
      <w:b/>
      <w:color w:val="000000" w:themeColor="text1"/>
      <w:spacing w:val="-10"/>
      <w:kern w:val="28"/>
      <w:sz w:val="28"/>
      <w:szCs w:val="56"/>
    </w:rPr>
  </w:style>
  <w:style w:type="character" w:customStyle="1" w:styleId="WMHASubsubheadingChar">
    <w:name w:val="WMHA Sub sub heading Char"/>
    <w:basedOn w:val="DefaultParagraphFont"/>
    <w:link w:val="WMHASubsubheading"/>
    <w:rsid w:val="00FF1EB4"/>
    <w:rPr>
      <w:rFonts w:ascii="Arial" w:eastAsiaTheme="majorEastAsia" w:hAnsi="Arial"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C74D39"/>
    <w:rPr>
      <w:sz w:val="16"/>
      <w:szCs w:val="16"/>
    </w:rPr>
  </w:style>
  <w:style w:type="paragraph" w:styleId="CommentText">
    <w:name w:val="annotation text"/>
    <w:basedOn w:val="Normal"/>
    <w:link w:val="CommentTextChar"/>
    <w:uiPriority w:val="99"/>
    <w:unhideWhenUsed/>
    <w:rsid w:val="00C74D39"/>
    <w:pPr>
      <w:spacing w:line="240" w:lineRule="auto"/>
    </w:pPr>
    <w:rPr>
      <w:sz w:val="20"/>
      <w:szCs w:val="20"/>
    </w:rPr>
  </w:style>
  <w:style w:type="character" w:customStyle="1" w:styleId="CommentTextChar">
    <w:name w:val="Comment Text Char"/>
    <w:basedOn w:val="DefaultParagraphFont"/>
    <w:link w:val="CommentText"/>
    <w:uiPriority w:val="99"/>
    <w:rsid w:val="00C74D39"/>
    <w:rPr>
      <w:sz w:val="20"/>
      <w:szCs w:val="20"/>
    </w:rPr>
  </w:style>
  <w:style w:type="paragraph" w:styleId="CommentSubject">
    <w:name w:val="annotation subject"/>
    <w:basedOn w:val="CommentText"/>
    <w:next w:val="CommentText"/>
    <w:link w:val="CommentSubjectChar"/>
    <w:uiPriority w:val="99"/>
    <w:semiHidden/>
    <w:unhideWhenUsed/>
    <w:rsid w:val="00C74D39"/>
    <w:rPr>
      <w:b/>
      <w:bCs/>
    </w:rPr>
  </w:style>
  <w:style w:type="character" w:customStyle="1" w:styleId="CommentSubjectChar">
    <w:name w:val="Comment Subject Char"/>
    <w:basedOn w:val="CommentTextChar"/>
    <w:link w:val="CommentSubject"/>
    <w:uiPriority w:val="99"/>
    <w:semiHidden/>
    <w:rsid w:val="00C74D39"/>
    <w:rPr>
      <w:b/>
      <w:bCs/>
      <w:sz w:val="20"/>
      <w:szCs w:val="20"/>
    </w:rPr>
  </w:style>
  <w:style w:type="character" w:styleId="Hyperlink">
    <w:name w:val="Hyperlink"/>
    <w:basedOn w:val="DefaultParagraphFont"/>
    <w:uiPriority w:val="99"/>
    <w:unhideWhenUsed/>
    <w:rsid w:val="00DC0946"/>
    <w:rPr>
      <w:color w:val="0563C1" w:themeColor="hyperlink"/>
      <w:u w:val="single"/>
    </w:rPr>
  </w:style>
  <w:style w:type="character" w:styleId="UnresolvedMention">
    <w:name w:val="Unresolved Mention"/>
    <w:basedOn w:val="DefaultParagraphFont"/>
    <w:uiPriority w:val="99"/>
    <w:semiHidden/>
    <w:unhideWhenUsed/>
    <w:rsid w:val="00DC0946"/>
    <w:rPr>
      <w:color w:val="605E5C"/>
      <w:shd w:val="clear" w:color="auto" w:fill="E1DFDD"/>
    </w:rPr>
  </w:style>
  <w:style w:type="character" w:styleId="FollowedHyperlink">
    <w:name w:val="FollowedHyperlink"/>
    <w:basedOn w:val="DefaultParagraphFont"/>
    <w:uiPriority w:val="99"/>
    <w:semiHidden/>
    <w:unhideWhenUsed/>
    <w:rsid w:val="00843ACA"/>
    <w:rPr>
      <w:color w:val="954F72" w:themeColor="followedHyperlink"/>
      <w:u w:val="single"/>
    </w:rPr>
  </w:style>
  <w:style w:type="character" w:customStyle="1" w:styleId="normaltextrun">
    <w:name w:val="normaltextrun"/>
    <w:basedOn w:val="DefaultParagraphFont"/>
    <w:rsid w:val="007A136A"/>
  </w:style>
  <w:style w:type="character" w:customStyle="1" w:styleId="eop">
    <w:name w:val="eop"/>
    <w:basedOn w:val="DefaultParagraphFont"/>
    <w:rsid w:val="007A136A"/>
  </w:style>
  <w:style w:type="paragraph" w:styleId="FootnoteText">
    <w:name w:val="footnote text"/>
    <w:basedOn w:val="Normal"/>
    <w:link w:val="FootnoteTextChar"/>
    <w:uiPriority w:val="99"/>
    <w:semiHidden/>
    <w:unhideWhenUsed/>
    <w:rsid w:val="00316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322"/>
    <w:rPr>
      <w:sz w:val="20"/>
      <w:szCs w:val="20"/>
    </w:rPr>
  </w:style>
  <w:style w:type="character" w:styleId="FootnoteReference">
    <w:name w:val="footnote reference"/>
    <w:basedOn w:val="DefaultParagraphFont"/>
    <w:uiPriority w:val="99"/>
    <w:semiHidden/>
    <w:unhideWhenUsed/>
    <w:rsid w:val="00316322"/>
    <w:rPr>
      <w:vertAlign w:val="superscript"/>
    </w:rPr>
  </w:style>
  <w:style w:type="paragraph" w:customStyle="1" w:styleId="pf0">
    <w:name w:val="pf0"/>
    <w:basedOn w:val="Normal"/>
    <w:rsid w:val="00940E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40E96"/>
    <w:rPr>
      <w:rFonts w:ascii="Segoe UI" w:hAnsi="Segoe UI" w:cs="Segoe UI" w:hint="default"/>
      <w:sz w:val="18"/>
      <w:szCs w:val="18"/>
    </w:rPr>
  </w:style>
  <w:style w:type="paragraph" w:styleId="ListParagraph">
    <w:name w:val="List Paragraph"/>
    <w:basedOn w:val="Normal"/>
    <w:uiPriority w:val="34"/>
    <w:qFormat/>
    <w:rsid w:val="00B92DE0"/>
    <w:pPr>
      <w:ind w:left="720"/>
      <w:contextualSpacing/>
    </w:pPr>
  </w:style>
  <w:style w:type="character" w:customStyle="1" w:styleId="A2">
    <w:name w:val="A2"/>
    <w:uiPriority w:val="99"/>
    <w:rsid w:val="003E6C1A"/>
    <w:rPr>
      <w:rFonts w:cs="Avenir Next"/>
      <w:color w:val="4F5453"/>
      <w:sz w:val="18"/>
      <w:szCs w:val="18"/>
    </w:rPr>
  </w:style>
  <w:style w:type="paragraph" w:styleId="EndnoteText">
    <w:name w:val="endnote text"/>
    <w:basedOn w:val="Normal"/>
    <w:link w:val="EndnoteTextChar"/>
    <w:uiPriority w:val="99"/>
    <w:semiHidden/>
    <w:unhideWhenUsed/>
    <w:rsid w:val="008D59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916"/>
    <w:rPr>
      <w:sz w:val="20"/>
      <w:szCs w:val="20"/>
    </w:rPr>
  </w:style>
  <w:style w:type="character" w:styleId="EndnoteReference">
    <w:name w:val="endnote reference"/>
    <w:basedOn w:val="DefaultParagraphFont"/>
    <w:uiPriority w:val="99"/>
    <w:semiHidden/>
    <w:unhideWhenUsed/>
    <w:rsid w:val="008D5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3877">
      <w:bodyDiv w:val="1"/>
      <w:marLeft w:val="0"/>
      <w:marRight w:val="0"/>
      <w:marTop w:val="0"/>
      <w:marBottom w:val="0"/>
      <w:divBdr>
        <w:top w:val="none" w:sz="0" w:space="0" w:color="auto"/>
        <w:left w:val="none" w:sz="0" w:space="0" w:color="auto"/>
        <w:bottom w:val="none" w:sz="0" w:space="0" w:color="auto"/>
        <w:right w:val="none" w:sz="0" w:space="0" w:color="auto"/>
      </w:divBdr>
    </w:div>
    <w:div w:id="98377514">
      <w:bodyDiv w:val="1"/>
      <w:marLeft w:val="0"/>
      <w:marRight w:val="0"/>
      <w:marTop w:val="0"/>
      <w:marBottom w:val="0"/>
      <w:divBdr>
        <w:top w:val="none" w:sz="0" w:space="0" w:color="auto"/>
        <w:left w:val="none" w:sz="0" w:space="0" w:color="auto"/>
        <w:bottom w:val="none" w:sz="0" w:space="0" w:color="auto"/>
        <w:right w:val="none" w:sz="0" w:space="0" w:color="auto"/>
      </w:divBdr>
    </w:div>
    <w:div w:id="167791316">
      <w:bodyDiv w:val="1"/>
      <w:marLeft w:val="0"/>
      <w:marRight w:val="0"/>
      <w:marTop w:val="0"/>
      <w:marBottom w:val="0"/>
      <w:divBdr>
        <w:top w:val="none" w:sz="0" w:space="0" w:color="auto"/>
        <w:left w:val="none" w:sz="0" w:space="0" w:color="auto"/>
        <w:bottom w:val="none" w:sz="0" w:space="0" w:color="auto"/>
        <w:right w:val="none" w:sz="0" w:space="0" w:color="auto"/>
      </w:divBdr>
    </w:div>
    <w:div w:id="340668474">
      <w:bodyDiv w:val="1"/>
      <w:marLeft w:val="0"/>
      <w:marRight w:val="0"/>
      <w:marTop w:val="0"/>
      <w:marBottom w:val="0"/>
      <w:divBdr>
        <w:top w:val="none" w:sz="0" w:space="0" w:color="auto"/>
        <w:left w:val="none" w:sz="0" w:space="0" w:color="auto"/>
        <w:bottom w:val="none" w:sz="0" w:space="0" w:color="auto"/>
        <w:right w:val="none" w:sz="0" w:space="0" w:color="auto"/>
      </w:divBdr>
    </w:div>
    <w:div w:id="466553300">
      <w:bodyDiv w:val="1"/>
      <w:marLeft w:val="0"/>
      <w:marRight w:val="0"/>
      <w:marTop w:val="0"/>
      <w:marBottom w:val="0"/>
      <w:divBdr>
        <w:top w:val="none" w:sz="0" w:space="0" w:color="auto"/>
        <w:left w:val="none" w:sz="0" w:space="0" w:color="auto"/>
        <w:bottom w:val="none" w:sz="0" w:space="0" w:color="auto"/>
        <w:right w:val="none" w:sz="0" w:space="0" w:color="auto"/>
      </w:divBdr>
    </w:div>
    <w:div w:id="608126655">
      <w:bodyDiv w:val="1"/>
      <w:marLeft w:val="0"/>
      <w:marRight w:val="0"/>
      <w:marTop w:val="0"/>
      <w:marBottom w:val="0"/>
      <w:divBdr>
        <w:top w:val="none" w:sz="0" w:space="0" w:color="auto"/>
        <w:left w:val="none" w:sz="0" w:space="0" w:color="auto"/>
        <w:bottom w:val="none" w:sz="0" w:space="0" w:color="auto"/>
        <w:right w:val="none" w:sz="0" w:space="0" w:color="auto"/>
      </w:divBdr>
    </w:div>
    <w:div w:id="617688261">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3579725">
      <w:bodyDiv w:val="1"/>
      <w:marLeft w:val="0"/>
      <w:marRight w:val="0"/>
      <w:marTop w:val="0"/>
      <w:marBottom w:val="0"/>
      <w:divBdr>
        <w:top w:val="none" w:sz="0" w:space="0" w:color="auto"/>
        <w:left w:val="none" w:sz="0" w:space="0" w:color="auto"/>
        <w:bottom w:val="none" w:sz="0" w:space="0" w:color="auto"/>
        <w:right w:val="none" w:sz="0" w:space="0" w:color="auto"/>
      </w:divBdr>
    </w:div>
    <w:div w:id="714738570">
      <w:bodyDiv w:val="1"/>
      <w:marLeft w:val="0"/>
      <w:marRight w:val="0"/>
      <w:marTop w:val="0"/>
      <w:marBottom w:val="0"/>
      <w:divBdr>
        <w:top w:val="none" w:sz="0" w:space="0" w:color="auto"/>
        <w:left w:val="none" w:sz="0" w:space="0" w:color="auto"/>
        <w:bottom w:val="none" w:sz="0" w:space="0" w:color="auto"/>
        <w:right w:val="none" w:sz="0" w:space="0" w:color="auto"/>
      </w:divBdr>
    </w:div>
    <w:div w:id="926307869">
      <w:bodyDiv w:val="1"/>
      <w:marLeft w:val="0"/>
      <w:marRight w:val="0"/>
      <w:marTop w:val="0"/>
      <w:marBottom w:val="0"/>
      <w:divBdr>
        <w:top w:val="none" w:sz="0" w:space="0" w:color="auto"/>
        <w:left w:val="none" w:sz="0" w:space="0" w:color="auto"/>
        <w:bottom w:val="none" w:sz="0" w:space="0" w:color="auto"/>
        <w:right w:val="none" w:sz="0" w:space="0" w:color="auto"/>
      </w:divBdr>
    </w:div>
    <w:div w:id="984163061">
      <w:bodyDiv w:val="1"/>
      <w:marLeft w:val="0"/>
      <w:marRight w:val="0"/>
      <w:marTop w:val="0"/>
      <w:marBottom w:val="0"/>
      <w:divBdr>
        <w:top w:val="none" w:sz="0" w:space="0" w:color="auto"/>
        <w:left w:val="none" w:sz="0" w:space="0" w:color="auto"/>
        <w:bottom w:val="none" w:sz="0" w:space="0" w:color="auto"/>
        <w:right w:val="none" w:sz="0" w:space="0" w:color="auto"/>
      </w:divBdr>
    </w:div>
    <w:div w:id="1643340682">
      <w:bodyDiv w:val="1"/>
      <w:marLeft w:val="0"/>
      <w:marRight w:val="0"/>
      <w:marTop w:val="0"/>
      <w:marBottom w:val="0"/>
      <w:divBdr>
        <w:top w:val="none" w:sz="0" w:space="0" w:color="auto"/>
        <w:left w:val="none" w:sz="0" w:space="0" w:color="auto"/>
        <w:bottom w:val="none" w:sz="0" w:space="0" w:color="auto"/>
        <w:right w:val="none" w:sz="0" w:space="0" w:color="auto"/>
      </w:divBdr>
    </w:div>
    <w:div w:id="1653873269">
      <w:bodyDiv w:val="1"/>
      <w:marLeft w:val="0"/>
      <w:marRight w:val="0"/>
      <w:marTop w:val="0"/>
      <w:marBottom w:val="0"/>
      <w:divBdr>
        <w:top w:val="none" w:sz="0" w:space="0" w:color="auto"/>
        <w:left w:val="none" w:sz="0" w:space="0" w:color="auto"/>
        <w:bottom w:val="none" w:sz="0" w:space="0" w:color="auto"/>
        <w:right w:val="none" w:sz="0" w:space="0" w:color="auto"/>
      </w:divBdr>
    </w:div>
    <w:div w:id="1656761451">
      <w:bodyDiv w:val="1"/>
      <w:marLeft w:val="0"/>
      <w:marRight w:val="0"/>
      <w:marTop w:val="0"/>
      <w:marBottom w:val="0"/>
      <w:divBdr>
        <w:top w:val="none" w:sz="0" w:space="0" w:color="auto"/>
        <w:left w:val="none" w:sz="0" w:space="0" w:color="auto"/>
        <w:bottom w:val="none" w:sz="0" w:space="0" w:color="auto"/>
        <w:right w:val="none" w:sz="0" w:space="0" w:color="auto"/>
      </w:divBdr>
    </w:div>
    <w:div w:id="1677683090">
      <w:bodyDiv w:val="1"/>
      <w:marLeft w:val="0"/>
      <w:marRight w:val="0"/>
      <w:marTop w:val="0"/>
      <w:marBottom w:val="0"/>
      <w:divBdr>
        <w:top w:val="none" w:sz="0" w:space="0" w:color="auto"/>
        <w:left w:val="none" w:sz="0" w:space="0" w:color="auto"/>
        <w:bottom w:val="none" w:sz="0" w:space="0" w:color="auto"/>
        <w:right w:val="none" w:sz="0" w:space="0" w:color="auto"/>
      </w:divBdr>
    </w:div>
    <w:div w:id="2039547743">
      <w:bodyDiv w:val="1"/>
      <w:marLeft w:val="0"/>
      <w:marRight w:val="0"/>
      <w:marTop w:val="0"/>
      <w:marBottom w:val="0"/>
      <w:divBdr>
        <w:top w:val="none" w:sz="0" w:space="0" w:color="auto"/>
        <w:left w:val="none" w:sz="0" w:space="0" w:color="auto"/>
        <w:bottom w:val="none" w:sz="0" w:space="0" w:color="auto"/>
        <w:right w:val="none" w:sz="0" w:space="0" w:color="auto"/>
      </w:divBdr>
    </w:div>
    <w:div w:id="20550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resources/whv-publications/impacts-covid-19-women%E2%80%99s-mental-health-and-recommendations-action-updated" TargetMode="External"/><Relationship Id="rId13" Type="http://schemas.openxmlformats.org/officeDocument/2006/relationships/hyperlink" Target="https://www.genvic.org.au/focus-areas/genderequalhealth/this-conversation-is-not-over-womens-mental-health-during-the-covid-19-pandem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v.org.au/resources/whv-publications/submission-national-mental-health-workforce-strateg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v.org.au/resources/whv-publications/impacts-covid-19-women%E2%80%99s-mental-health-and-recommendations-action-updat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cwh.com.au/left-behind-migrant-and-refugee-womens-experiences-of-covid-19-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nvic.org.au/focus-areas/genderequalhealth/this-conversation-is-not-over-womens-mental-health-during-the-covid-19-pandemic/" TargetMode="External"/><Relationship Id="rId14" Type="http://schemas.openxmlformats.org/officeDocument/2006/relationships/hyperlink" Target="https://www.mcwh.com.au/left-behind-migrant-and-refugee-womens-experiences-of-covid-19-re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c.net.au/news/2021-08-31/eating-disorders-regional-teens-covid-19-pandemic-/100417812" TargetMode="External"/><Relationship Id="rId2" Type="http://schemas.openxmlformats.org/officeDocument/2006/relationships/hyperlink" Target="https://www.missionaustralia.com.au/news-blog/media-and-updates/1-in-4-young-people-facing-psychological-distress-during-pandemic" TargetMode="External"/><Relationship Id="rId1" Type="http://schemas.openxmlformats.org/officeDocument/2006/relationships/hyperlink" Target="https://www.aihw.gov.au/suicide-self-harm-monitoring/data/ambulance-attendances/ambulance-attendances-for-suicidal-behaviours" TargetMode="External"/><Relationship Id="rId6" Type="http://schemas.openxmlformats.org/officeDocument/2006/relationships/hyperlink" Target="https://www.genvic.org.au/focus-areas/genderequalhealth/womhen/" TargetMode="External"/><Relationship Id="rId5" Type="http://schemas.openxmlformats.org/officeDocument/2006/relationships/hyperlink" Target="https://www.genvic.org.au/wp-content/uploads/2021/10/LeftBehindWOMHEnReport61021FINAL.pdf" TargetMode="External"/><Relationship Id="rId4" Type="http://schemas.openxmlformats.org/officeDocument/2006/relationships/hyperlink" Target="https://apo.org.au/sites/default/files/resource-files/2021-10/apo-nid3145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62CB-A28E-4A79-A384-7EC85809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8</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Mischa Barr</cp:lastModifiedBy>
  <cp:revision>20</cp:revision>
  <dcterms:created xsi:type="dcterms:W3CDTF">2021-10-06T02:49:00Z</dcterms:created>
  <dcterms:modified xsi:type="dcterms:W3CDTF">2021-10-28T05:06:00Z</dcterms:modified>
</cp:coreProperties>
</file>